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22" w:rsidRDefault="00A31D22" w:rsidP="009B334A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34A" w:rsidRPr="008C2C71" w:rsidRDefault="00A31D22" w:rsidP="004F7AB4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MINIST</w:t>
      </w:r>
      <w:r w:rsidR="00F33AB9">
        <w:rPr>
          <w:rFonts w:ascii="Times New Roman" w:hAnsi="Times New Roman" w:cs="Times New Roman"/>
          <w:b/>
          <w:sz w:val="28"/>
          <w:szCs w:val="28"/>
        </w:rPr>
        <w:t>RY OF ARTS AND CULTURE</w:t>
      </w:r>
    </w:p>
    <w:p w:rsidR="009B334A" w:rsidRDefault="006341DF" w:rsidP="009B334A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NOTICE FOR </w:t>
      </w:r>
      <w:r w:rsidR="00156205">
        <w:rPr>
          <w:rFonts w:ascii="Times New Roman" w:hAnsi="Times New Roman" w:cs="Times New Roman"/>
          <w:b/>
          <w:sz w:val="28"/>
          <w:szCs w:val="28"/>
          <w:u w:val="single"/>
        </w:rPr>
        <w:t>R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EGISTRATION OF POTENTIAL SERVICE PROVIDERS FOR FINANCIAL YEAR 2025/2026</w:t>
      </w:r>
    </w:p>
    <w:p w:rsidR="0041124B" w:rsidRDefault="0041124B" w:rsidP="0041124B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0F8A" w:rsidRDefault="0041124B" w:rsidP="00375842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360" w:lineRule="auto"/>
        <w:ind w:firstLine="720"/>
        <w:jc w:val="both"/>
        <w:rPr>
          <w:rFonts w:ascii="Arial" w:hAnsi="Arial" w:cs="Arial"/>
        </w:rPr>
      </w:pPr>
      <w:r w:rsidRPr="00375842">
        <w:rPr>
          <w:rFonts w:ascii="Arial" w:hAnsi="Arial" w:cs="Arial"/>
        </w:rPr>
        <w:t>The Minist</w:t>
      </w:r>
      <w:r w:rsidR="00F33AB9">
        <w:rPr>
          <w:rFonts w:ascii="Arial" w:hAnsi="Arial" w:cs="Arial"/>
        </w:rPr>
        <w:t>ry of Arts and Culture</w:t>
      </w:r>
      <w:r w:rsidRPr="00375842">
        <w:rPr>
          <w:rFonts w:ascii="Arial" w:hAnsi="Arial" w:cs="Arial"/>
        </w:rPr>
        <w:t xml:space="preserve"> </w:t>
      </w:r>
      <w:r w:rsidR="006341DF">
        <w:rPr>
          <w:rFonts w:ascii="Arial" w:hAnsi="Arial" w:cs="Arial"/>
        </w:rPr>
        <w:t>invites</w:t>
      </w:r>
      <w:r w:rsidR="00A26ED2">
        <w:rPr>
          <w:rFonts w:ascii="Arial" w:hAnsi="Arial" w:cs="Arial"/>
        </w:rPr>
        <w:t xml:space="preserve"> potential service providers of</w:t>
      </w:r>
      <w:r w:rsidR="006341DF">
        <w:rPr>
          <w:rFonts w:ascii="Arial" w:hAnsi="Arial" w:cs="Arial"/>
        </w:rPr>
        <w:t xml:space="preserve"> </w:t>
      </w:r>
      <w:r w:rsidR="00D70F8A">
        <w:rPr>
          <w:rFonts w:ascii="Arial" w:hAnsi="Arial" w:cs="Arial"/>
        </w:rPr>
        <w:t>Goods, S</w:t>
      </w:r>
      <w:r w:rsidR="00831A12" w:rsidRPr="00375842">
        <w:rPr>
          <w:rFonts w:ascii="Arial" w:hAnsi="Arial" w:cs="Arial"/>
        </w:rPr>
        <w:t>ervices</w:t>
      </w:r>
      <w:r w:rsidR="00D70F8A">
        <w:rPr>
          <w:rFonts w:ascii="Arial" w:hAnsi="Arial" w:cs="Arial"/>
        </w:rPr>
        <w:t>,</w:t>
      </w:r>
      <w:r w:rsidR="006341DF">
        <w:rPr>
          <w:rFonts w:ascii="Arial" w:hAnsi="Arial" w:cs="Arial"/>
        </w:rPr>
        <w:t xml:space="preserve"> Works and Consultancy Services including those already registered with the Ministry, to submit their application for registration for financial year 2025/2026.</w:t>
      </w:r>
    </w:p>
    <w:p w:rsidR="00954DF3" w:rsidRDefault="00954DF3" w:rsidP="00375842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360" w:lineRule="auto"/>
        <w:ind w:firstLine="720"/>
        <w:jc w:val="both"/>
        <w:rPr>
          <w:rFonts w:ascii="Arial" w:hAnsi="Arial" w:cs="Arial"/>
        </w:rPr>
      </w:pPr>
    </w:p>
    <w:p w:rsidR="00414F3E" w:rsidRDefault="00D70F8A" w:rsidP="00414F3E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   </w:t>
      </w:r>
      <w:r w:rsidR="00831A12" w:rsidRPr="00375842">
        <w:rPr>
          <w:rFonts w:ascii="Arial" w:hAnsi="Arial" w:cs="Arial"/>
        </w:rPr>
        <w:t xml:space="preserve"> </w:t>
      </w:r>
      <w:r w:rsidR="006341DF">
        <w:rPr>
          <w:rFonts w:ascii="Arial" w:hAnsi="Arial" w:cs="Arial"/>
        </w:rPr>
        <w:t>Interested p</w:t>
      </w:r>
      <w:r w:rsidR="00A26ED2">
        <w:rPr>
          <w:rFonts w:ascii="Arial" w:hAnsi="Arial" w:cs="Arial"/>
        </w:rPr>
        <w:t xml:space="preserve">arties </w:t>
      </w:r>
      <w:proofErr w:type="gramStart"/>
      <w:r w:rsidR="00A26ED2">
        <w:rPr>
          <w:rFonts w:ascii="Arial" w:hAnsi="Arial" w:cs="Arial"/>
        </w:rPr>
        <w:t>are requested</w:t>
      </w:r>
      <w:proofErr w:type="gramEnd"/>
      <w:r w:rsidR="00A26ED2">
        <w:rPr>
          <w:rFonts w:ascii="Arial" w:hAnsi="Arial" w:cs="Arial"/>
        </w:rPr>
        <w:t xml:space="preserve"> to fill in</w:t>
      </w:r>
      <w:r w:rsidR="006341DF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Supplier </w:t>
      </w:r>
      <w:r w:rsidR="00D869C3">
        <w:rPr>
          <w:rFonts w:ascii="Arial" w:hAnsi="Arial" w:cs="Arial"/>
        </w:rPr>
        <w:t xml:space="preserve">Registration Form, </w:t>
      </w:r>
      <w:r w:rsidR="006341DF">
        <w:rPr>
          <w:rFonts w:ascii="Arial" w:hAnsi="Arial" w:cs="Arial"/>
        </w:rPr>
        <w:t>which can be downloaded from</w:t>
      </w:r>
      <w:r w:rsidR="00414F3E">
        <w:rPr>
          <w:rFonts w:ascii="Arial" w:hAnsi="Arial" w:cs="Arial"/>
        </w:rPr>
        <w:t xml:space="preserve"> the </w:t>
      </w:r>
      <w:r w:rsidR="00414F3E" w:rsidRPr="00375842">
        <w:rPr>
          <w:rFonts w:ascii="Arial" w:hAnsi="Arial" w:cs="Arial"/>
        </w:rPr>
        <w:t>Ministry’s website</w:t>
      </w:r>
      <w:r w:rsidR="00414F3E">
        <w:rPr>
          <w:rFonts w:ascii="Arial" w:hAnsi="Arial" w:cs="Arial"/>
        </w:rPr>
        <w:t xml:space="preserve"> </w:t>
      </w:r>
      <w:r w:rsidR="00414F3E" w:rsidRPr="00EB32BC">
        <w:rPr>
          <w:rFonts w:ascii="Arial" w:hAnsi="Arial" w:cs="Arial"/>
          <w:color w:val="5B9BD5" w:themeColor="accent1"/>
        </w:rPr>
        <w:t>(</w:t>
      </w:r>
      <w:r w:rsidR="00414F3E" w:rsidRPr="00EB32BC">
        <w:rPr>
          <w:rFonts w:ascii="Arial" w:hAnsi="Arial" w:cs="Arial"/>
          <w:color w:val="5B9BD5" w:themeColor="accent1"/>
          <w:u w:val="single"/>
        </w:rPr>
        <w:t>culture.govmu.org)</w:t>
      </w:r>
      <w:r w:rsidR="00414F3E" w:rsidRPr="00EB32BC">
        <w:rPr>
          <w:rFonts w:ascii="Arial" w:hAnsi="Arial" w:cs="Arial"/>
          <w:color w:val="5B9BD5" w:themeColor="accent1"/>
        </w:rPr>
        <w:t xml:space="preserve"> </w:t>
      </w:r>
      <w:r w:rsidR="00414F3E">
        <w:rPr>
          <w:rFonts w:ascii="Arial" w:hAnsi="Arial" w:cs="Arial"/>
        </w:rPr>
        <w:t xml:space="preserve">or from the </w:t>
      </w:r>
      <w:r w:rsidR="007B19F4">
        <w:rPr>
          <w:rFonts w:ascii="Times New Roman" w:hAnsi="Times New Roman" w:cs="Times New Roman"/>
          <w:sz w:val="24"/>
          <w:szCs w:val="24"/>
        </w:rPr>
        <w:t xml:space="preserve">Government Procurement </w:t>
      </w:r>
      <w:r w:rsidR="00414F3E">
        <w:rPr>
          <w:rFonts w:ascii="Times New Roman" w:hAnsi="Times New Roman" w:cs="Times New Roman"/>
          <w:sz w:val="24"/>
          <w:szCs w:val="24"/>
        </w:rPr>
        <w:t>Porta</w:t>
      </w:r>
      <w:r w:rsidR="00414F3E">
        <w:rPr>
          <w:rFonts w:ascii="Arial" w:hAnsi="Arial" w:cs="Arial"/>
        </w:rPr>
        <w:t>l</w:t>
      </w:r>
      <w:r w:rsidR="007B19F4">
        <w:rPr>
          <w:rFonts w:ascii="Times New Roman" w:hAnsi="Times New Roman" w:cs="Times New Roman"/>
        </w:rPr>
        <w:t xml:space="preserve"> </w:t>
      </w:r>
      <w:r w:rsidR="007B19F4" w:rsidRPr="00EB32BC">
        <w:rPr>
          <w:rFonts w:ascii="Times New Roman" w:hAnsi="Times New Roman" w:cs="Times New Roman"/>
          <w:color w:val="5B9BD5" w:themeColor="accent1"/>
        </w:rPr>
        <w:t>(</w:t>
      </w:r>
      <w:r w:rsidR="007B19F4" w:rsidRPr="00EB32BC">
        <w:rPr>
          <w:rFonts w:ascii="Arial" w:hAnsi="Arial" w:cs="Arial"/>
          <w:color w:val="5B9BD5" w:themeColor="accent1"/>
        </w:rPr>
        <w:t>publicprocurement.govmu.org</w:t>
      </w:r>
      <w:r w:rsidR="007B19F4" w:rsidRPr="00EB32BC">
        <w:rPr>
          <w:rFonts w:ascii="Times New Roman" w:hAnsi="Times New Roman" w:cs="Times New Roman"/>
          <w:color w:val="5B9BD5" w:themeColor="accent1"/>
        </w:rPr>
        <w:t>)</w:t>
      </w:r>
    </w:p>
    <w:p w:rsidR="00980CCF" w:rsidRPr="00375842" w:rsidRDefault="00980CCF" w:rsidP="00375842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2871EF" w:rsidRPr="00375842" w:rsidRDefault="004107D8" w:rsidP="002871EF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80CCF" w:rsidRPr="00375842">
        <w:rPr>
          <w:rFonts w:ascii="Arial" w:hAnsi="Arial" w:cs="Arial"/>
        </w:rPr>
        <w:t>.</w:t>
      </w:r>
      <w:r w:rsidR="00980CCF" w:rsidRPr="00375842">
        <w:rPr>
          <w:rFonts w:ascii="Arial" w:hAnsi="Arial" w:cs="Arial"/>
        </w:rPr>
        <w:tab/>
      </w:r>
      <w:r w:rsidR="00290F05">
        <w:rPr>
          <w:rFonts w:ascii="Arial" w:hAnsi="Arial" w:cs="Arial"/>
        </w:rPr>
        <w:t xml:space="preserve">The </w:t>
      </w:r>
      <w:r w:rsidR="00EB32BC">
        <w:rPr>
          <w:rFonts w:ascii="Arial" w:hAnsi="Arial" w:cs="Arial"/>
        </w:rPr>
        <w:t xml:space="preserve">duly filled </w:t>
      </w:r>
      <w:r w:rsidR="00D869C3">
        <w:rPr>
          <w:rFonts w:ascii="Arial" w:hAnsi="Arial" w:cs="Arial"/>
        </w:rPr>
        <w:t xml:space="preserve">Registration Form with all relevant documents should be deposited in the Tender Box located on the </w:t>
      </w:r>
      <w:r w:rsidR="002871EF">
        <w:rPr>
          <w:rFonts w:ascii="Arial" w:hAnsi="Arial" w:cs="Arial"/>
        </w:rPr>
        <w:t>7</w:t>
      </w:r>
      <w:r w:rsidR="002871EF" w:rsidRPr="002871EF">
        <w:rPr>
          <w:rFonts w:ascii="Arial" w:hAnsi="Arial" w:cs="Arial"/>
          <w:vertAlign w:val="superscript"/>
        </w:rPr>
        <w:t>th</w:t>
      </w:r>
      <w:r w:rsidR="002871EF">
        <w:rPr>
          <w:rFonts w:ascii="Arial" w:hAnsi="Arial" w:cs="Arial"/>
        </w:rPr>
        <w:t xml:space="preserve"> Floor, </w:t>
      </w:r>
      <w:proofErr w:type="spellStart"/>
      <w:r w:rsidR="002871EF">
        <w:rPr>
          <w:rFonts w:ascii="Arial" w:hAnsi="Arial" w:cs="Arial"/>
        </w:rPr>
        <w:t>Renganadeen</w:t>
      </w:r>
      <w:proofErr w:type="spellEnd"/>
      <w:r w:rsidR="002871EF">
        <w:rPr>
          <w:rFonts w:ascii="Arial" w:hAnsi="Arial" w:cs="Arial"/>
        </w:rPr>
        <w:t xml:space="preserve"> </w:t>
      </w:r>
      <w:proofErr w:type="spellStart"/>
      <w:r w:rsidR="002871EF">
        <w:rPr>
          <w:rFonts w:ascii="Arial" w:hAnsi="Arial" w:cs="Arial"/>
        </w:rPr>
        <w:t>Seeneevassen</w:t>
      </w:r>
      <w:proofErr w:type="spellEnd"/>
      <w:r w:rsidR="002871EF">
        <w:rPr>
          <w:rFonts w:ascii="Arial" w:hAnsi="Arial" w:cs="Arial"/>
        </w:rPr>
        <w:t xml:space="preserve"> Building, </w:t>
      </w:r>
      <w:proofErr w:type="spellStart"/>
      <w:r w:rsidR="002871EF">
        <w:rPr>
          <w:rFonts w:ascii="Arial" w:hAnsi="Arial" w:cs="Arial"/>
        </w:rPr>
        <w:t>Cnr</w:t>
      </w:r>
      <w:proofErr w:type="spellEnd"/>
      <w:r w:rsidR="002871EF">
        <w:rPr>
          <w:rFonts w:ascii="Arial" w:hAnsi="Arial" w:cs="Arial"/>
        </w:rPr>
        <w:t xml:space="preserve"> Pope </w:t>
      </w:r>
      <w:proofErr w:type="spellStart"/>
      <w:r w:rsidR="002871EF">
        <w:rPr>
          <w:rFonts w:ascii="Arial" w:hAnsi="Arial" w:cs="Arial"/>
        </w:rPr>
        <w:t>Henessy</w:t>
      </w:r>
      <w:proofErr w:type="spellEnd"/>
      <w:r w:rsidR="002871EF">
        <w:rPr>
          <w:rFonts w:ascii="Arial" w:hAnsi="Arial" w:cs="Arial"/>
        </w:rPr>
        <w:t xml:space="preserve"> an</w:t>
      </w:r>
      <w:r w:rsidR="00967ECE">
        <w:rPr>
          <w:rFonts w:ascii="Arial" w:hAnsi="Arial" w:cs="Arial"/>
        </w:rPr>
        <w:t xml:space="preserve">d </w:t>
      </w:r>
      <w:proofErr w:type="spellStart"/>
      <w:r w:rsidR="00967ECE">
        <w:rPr>
          <w:rFonts w:ascii="Arial" w:hAnsi="Arial" w:cs="Arial"/>
        </w:rPr>
        <w:t>Maillard</w:t>
      </w:r>
      <w:proofErr w:type="spellEnd"/>
      <w:r w:rsidR="00967ECE">
        <w:rPr>
          <w:rFonts w:ascii="Arial" w:hAnsi="Arial" w:cs="Arial"/>
        </w:rPr>
        <w:t xml:space="preserve"> Street, Port Louis</w:t>
      </w:r>
      <w:r w:rsidR="00071A14">
        <w:rPr>
          <w:rStyle w:val="Hyperlink"/>
          <w:rFonts w:ascii="Arial" w:hAnsi="Arial" w:cs="Arial"/>
          <w:color w:val="000000" w:themeColor="text1"/>
          <w:u w:val="none"/>
        </w:rPr>
        <w:t xml:space="preserve"> </w:t>
      </w:r>
      <w:r w:rsidR="00071A14" w:rsidRPr="00071A14">
        <w:rPr>
          <w:rStyle w:val="Hyperlink"/>
          <w:rFonts w:ascii="Arial" w:hAnsi="Arial" w:cs="Arial"/>
          <w:b/>
          <w:color w:val="000000" w:themeColor="text1"/>
          <w:u w:val="none"/>
        </w:rPr>
        <w:t>on or before 25 July 2025</w:t>
      </w:r>
      <w:r w:rsidR="00071A14">
        <w:rPr>
          <w:rStyle w:val="Hyperlink"/>
          <w:rFonts w:ascii="Arial" w:hAnsi="Arial" w:cs="Arial"/>
          <w:color w:val="000000" w:themeColor="text1"/>
          <w:u w:val="none"/>
        </w:rPr>
        <w:t>. T</w:t>
      </w:r>
      <w:r w:rsidR="004F7AB4" w:rsidRPr="004F7AB4">
        <w:rPr>
          <w:rStyle w:val="Hyperlink"/>
          <w:rFonts w:ascii="Arial" w:hAnsi="Arial" w:cs="Arial"/>
          <w:color w:val="000000" w:themeColor="text1"/>
          <w:u w:val="none"/>
        </w:rPr>
        <w:t xml:space="preserve">he </w:t>
      </w:r>
      <w:r w:rsidR="00D869C3">
        <w:rPr>
          <w:rStyle w:val="Hyperlink"/>
          <w:rFonts w:ascii="Arial" w:hAnsi="Arial" w:cs="Arial"/>
          <w:color w:val="000000" w:themeColor="text1"/>
          <w:u w:val="none"/>
        </w:rPr>
        <w:t>envelope should be clearly marked at the top l</w:t>
      </w:r>
      <w:r w:rsidR="00071A14">
        <w:rPr>
          <w:rStyle w:val="Hyperlink"/>
          <w:rFonts w:ascii="Arial" w:hAnsi="Arial" w:cs="Arial"/>
          <w:color w:val="000000" w:themeColor="text1"/>
          <w:u w:val="none"/>
        </w:rPr>
        <w:t xml:space="preserve">eft hand corner with the words </w:t>
      </w:r>
      <w:r w:rsidR="00D869C3">
        <w:rPr>
          <w:rStyle w:val="Hyperlink"/>
          <w:rFonts w:ascii="Arial" w:hAnsi="Arial" w:cs="Arial"/>
          <w:color w:val="000000" w:themeColor="text1"/>
          <w:u w:val="none"/>
        </w:rPr>
        <w:t>“Registration of Suppliers – Financial Year</w:t>
      </w:r>
      <w:r w:rsidR="00071A14">
        <w:rPr>
          <w:rStyle w:val="Hyperlink"/>
          <w:rFonts w:ascii="Arial" w:hAnsi="Arial" w:cs="Arial"/>
          <w:color w:val="000000" w:themeColor="text1"/>
          <w:u w:val="none"/>
        </w:rPr>
        <w:t xml:space="preserve"> 2025/2026”.</w:t>
      </w:r>
    </w:p>
    <w:p w:rsidR="00290F05" w:rsidRPr="00375842" w:rsidRDefault="00290F05" w:rsidP="00375842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360" w:lineRule="auto"/>
        <w:jc w:val="both"/>
        <w:rPr>
          <w:rFonts w:ascii="Arial" w:hAnsi="Arial" w:cs="Arial"/>
        </w:rPr>
      </w:pPr>
    </w:p>
    <w:p w:rsidR="00D2350D" w:rsidRPr="00375842" w:rsidRDefault="004107D8" w:rsidP="00375842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A7FFC" w:rsidRPr="00375842">
        <w:rPr>
          <w:rFonts w:ascii="Arial" w:hAnsi="Arial" w:cs="Arial"/>
        </w:rPr>
        <w:t>.</w:t>
      </w:r>
      <w:r w:rsidR="007A7FFC" w:rsidRPr="00375842">
        <w:rPr>
          <w:rFonts w:ascii="Arial" w:hAnsi="Arial" w:cs="Arial"/>
        </w:rPr>
        <w:tab/>
      </w:r>
      <w:r w:rsidR="00375842" w:rsidRPr="00375842">
        <w:rPr>
          <w:rFonts w:ascii="Arial" w:hAnsi="Arial" w:cs="Arial"/>
        </w:rPr>
        <w:t xml:space="preserve">Interested parties/individuals </w:t>
      </w:r>
      <w:r w:rsidR="00A24B19" w:rsidRPr="00375842">
        <w:rPr>
          <w:rFonts w:ascii="Arial" w:hAnsi="Arial" w:cs="Arial"/>
        </w:rPr>
        <w:t>are</w:t>
      </w:r>
      <w:r w:rsidR="00375842" w:rsidRPr="00375842">
        <w:rPr>
          <w:rFonts w:ascii="Arial" w:hAnsi="Arial" w:cs="Arial"/>
        </w:rPr>
        <w:t xml:space="preserve"> also</w:t>
      </w:r>
      <w:r w:rsidR="00A24B19" w:rsidRPr="00375842">
        <w:rPr>
          <w:rFonts w:ascii="Arial" w:hAnsi="Arial" w:cs="Arial"/>
        </w:rPr>
        <w:t xml:space="preserve"> </w:t>
      </w:r>
      <w:r w:rsidR="00156205">
        <w:rPr>
          <w:rFonts w:ascii="Arial" w:hAnsi="Arial" w:cs="Arial"/>
        </w:rPr>
        <w:t>invited</w:t>
      </w:r>
      <w:r w:rsidR="00A24B19" w:rsidRPr="00375842">
        <w:rPr>
          <w:rFonts w:ascii="Arial" w:hAnsi="Arial" w:cs="Arial"/>
        </w:rPr>
        <w:t xml:space="preserve"> to register on the </w:t>
      </w:r>
      <w:r w:rsidR="00D2350D" w:rsidRPr="00375842">
        <w:rPr>
          <w:rFonts w:ascii="Arial" w:hAnsi="Arial" w:cs="Arial"/>
        </w:rPr>
        <w:t>e-Procurement System</w:t>
      </w:r>
      <w:r w:rsidR="0057643B" w:rsidRPr="00375842">
        <w:rPr>
          <w:rFonts w:ascii="Arial" w:hAnsi="Arial" w:cs="Arial"/>
        </w:rPr>
        <w:t xml:space="preserve"> on </w:t>
      </w:r>
      <w:hyperlink r:id="rId4" w:history="1">
        <w:r w:rsidR="0057643B" w:rsidRPr="00EB32BC">
          <w:rPr>
            <w:rStyle w:val="Hyperlink"/>
            <w:rFonts w:ascii="Arial" w:hAnsi="Arial" w:cs="Arial"/>
            <w:color w:val="5B9BD5" w:themeColor="accent1"/>
          </w:rPr>
          <w:t>http://eproc.publicprocurement.govmu.org</w:t>
        </w:r>
      </w:hyperlink>
      <w:r w:rsidR="0057643B" w:rsidRPr="00EB32BC">
        <w:rPr>
          <w:rFonts w:ascii="Arial" w:hAnsi="Arial" w:cs="Arial"/>
          <w:color w:val="5B9BD5" w:themeColor="accent1"/>
        </w:rPr>
        <w:t xml:space="preserve"> </w:t>
      </w:r>
      <w:r w:rsidR="00D2350D" w:rsidRPr="00375842">
        <w:rPr>
          <w:rFonts w:ascii="Arial" w:hAnsi="Arial" w:cs="Arial"/>
        </w:rPr>
        <w:t>to be able to participate</w:t>
      </w:r>
      <w:r w:rsidR="0057643B" w:rsidRPr="00375842">
        <w:rPr>
          <w:rFonts w:ascii="Arial" w:hAnsi="Arial" w:cs="Arial"/>
        </w:rPr>
        <w:t xml:space="preserve"> online</w:t>
      </w:r>
      <w:r w:rsidR="00D2350D" w:rsidRPr="00375842">
        <w:rPr>
          <w:rFonts w:ascii="Arial" w:hAnsi="Arial" w:cs="Arial"/>
        </w:rPr>
        <w:t xml:space="preserve"> in </w:t>
      </w:r>
      <w:r w:rsidR="00B73949" w:rsidRPr="00375842">
        <w:rPr>
          <w:rFonts w:ascii="Arial" w:hAnsi="Arial" w:cs="Arial"/>
        </w:rPr>
        <w:t xml:space="preserve">the </w:t>
      </w:r>
      <w:proofErr w:type="gramStart"/>
      <w:r w:rsidR="00B73949" w:rsidRPr="00375842">
        <w:rPr>
          <w:rFonts w:ascii="Arial" w:hAnsi="Arial" w:cs="Arial"/>
        </w:rPr>
        <w:t>Ministry’s</w:t>
      </w:r>
      <w:proofErr w:type="gramEnd"/>
      <w:r w:rsidR="00B73949" w:rsidRPr="00375842">
        <w:rPr>
          <w:rFonts w:ascii="Arial" w:hAnsi="Arial" w:cs="Arial"/>
        </w:rPr>
        <w:t xml:space="preserve"> bidding exercises</w:t>
      </w:r>
      <w:r w:rsidR="00323DFB" w:rsidRPr="00375842">
        <w:rPr>
          <w:rFonts w:ascii="Arial" w:hAnsi="Arial" w:cs="Arial"/>
        </w:rPr>
        <w:t>. T</w:t>
      </w:r>
      <w:r w:rsidR="00B73949" w:rsidRPr="00375842">
        <w:rPr>
          <w:rFonts w:ascii="Arial" w:hAnsi="Arial" w:cs="Arial"/>
        </w:rPr>
        <w:t xml:space="preserve">he e-Procurement System </w:t>
      </w:r>
      <w:r w:rsidR="00F94BEB" w:rsidRPr="00375842">
        <w:rPr>
          <w:rFonts w:ascii="Arial" w:hAnsi="Arial" w:cs="Arial"/>
        </w:rPr>
        <w:t>h</w:t>
      </w:r>
      <w:r w:rsidR="00B73949" w:rsidRPr="00375842">
        <w:rPr>
          <w:rFonts w:ascii="Arial" w:hAnsi="Arial" w:cs="Arial"/>
        </w:rPr>
        <w:t xml:space="preserve">elpdesk </w:t>
      </w:r>
      <w:r w:rsidR="00F94BEB" w:rsidRPr="00375842">
        <w:rPr>
          <w:rFonts w:ascii="Arial" w:hAnsi="Arial" w:cs="Arial"/>
        </w:rPr>
        <w:t xml:space="preserve">may be contacted </w:t>
      </w:r>
      <w:r w:rsidR="00B73949" w:rsidRPr="00375842">
        <w:rPr>
          <w:rFonts w:ascii="Arial" w:hAnsi="Arial" w:cs="Arial"/>
        </w:rPr>
        <w:t>on 201</w:t>
      </w:r>
      <w:r w:rsidR="009F78C1">
        <w:rPr>
          <w:rFonts w:ascii="Arial" w:hAnsi="Arial" w:cs="Arial"/>
        </w:rPr>
        <w:t xml:space="preserve"> </w:t>
      </w:r>
      <w:r w:rsidR="00B73949" w:rsidRPr="00375842">
        <w:rPr>
          <w:rFonts w:ascii="Arial" w:hAnsi="Arial" w:cs="Arial"/>
        </w:rPr>
        <w:t xml:space="preserve">1530 or by email on </w:t>
      </w:r>
      <w:hyperlink r:id="rId5" w:history="1">
        <w:r w:rsidR="00B73949" w:rsidRPr="00EB32BC">
          <w:rPr>
            <w:rStyle w:val="Hyperlink"/>
            <w:rFonts w:ascii="Arial" w:hAnsi="Arial" w:cs="Arial"/>
            <w:color w:val="5B9BD5" w:themeColor="accent1"/>
          </w:rPr>
          <w:t>eprocdesk@govmu.org</w:t>
        </w:r>
      </w:hyperlink>
      <w:r w:rsidR="00F94BEB" w:rsidRPr="00375842">
        <w:rPr>
          <w:rFonts w:ascii="Arial" w:hAnsi="Arial" w:cs="Arial"/>
        </w:rPr>
        <w:t xml:space="preserve"> for assistance</w:t>
      </w:r>
      <w:r w:rsidR="00B73949" w:rsidRPr="00375842">
        <w:rPr>
          <w:rFonts w:ascii="Arial" w:hAnsi="Arial" w:cs="Arial"/>
        </w:rPr>
        <w:t xml:space="preserve">. </w:t>
      </w:r>
    </w:p>
    <w:p w:rsidR="00D2350D" w:rsidRPr="00375842" w:rsidRDefault="00D2350D" w:rsidP="00375842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360" w:lineRule="auto"/>
        <w:jc w:val="both"/>
        <w:rPr>
          <w:rFonts w:ascii="Arial" w:hAnsi="Arial" w:cs="Arial"/>
        </w:rPr>
      </w:pPr>
    </w:p>
    <w:p w:rsidR="007E2CBD" w:rsidRDefault="004107D8" w:rsidP="00071A14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2350D" w:rsidRPr="00375842">
        <w:rPr>
          <w:rFonts w:ascii="Arial" w:hAnsi="Arial" w:cs="Arial"/>
        </w:rPr>
        <w:t>.</w:t>
      </w:r>
      <w:r w:rsidR="00D2350D" w:rsidRPr="00375842">
        <w:rPr>
          <w:rFonts w:ascii="Arial" w:hAnsi="Arial" w:cs="Arial"/>
        </w:rPr>
        <w:tab/>
      </w:r>
      <w:r w:rsidR="00071A14">
        <w:rPr>
          <w:rFonts w:ascii="Arial" w:hAnsi="Arial" w:cs="Arial"/>
        </w:rPr>
        <w:t>For more details, the procurement Unit can be contacted on 211 2991.</w:t>
      </w:r>
    </w:p>
    <w:p w:rsidR="00A4430D" w:rsidRDefault="00A4430D" w:rsidP="002221D8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80" w:lineRule="exact"/>
        <w:rPr>
          <w:rFonts w:ascii="Times New Roman" w:hAnsi="Times New Roman" w:cs="Times New Roman"/>
          <w:bCs/>
        </w:rPr>
      </w:pPr>
    </w:p>
    <w:p w:rsidR="00A4430D" w:rsidRPr="002221D8" w:rsidRDefault="00A4430D" w:rsidP="00A4430D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80" w:lineRule="exact"/>
        <w:rPr>
          <w:rFonts w:ascii="Times New Roman" w:hAnsi="Times New Roman" w:cs="Times New Roman"/>
          <w:b/>
        </w:rPr>
      </w:pPr>
      <w:r w:rsidRPr="002221D8">
        <w:rPr>
          <w:rFonts w:ascii="Times New Roman" w:hAnsi="Times New Roman" w:cs="Times New Roman"/>
          <w:b/>
        </w:rPr>
        <w:t>Minist</w:t>
      </w:r>
      <w:r>
        <w:rPr>
          <w:rFonts w:ascii="Times New Roman" w:hAnsi="Times New Roman" w:cs="Times New Roman"/>
          <w:b/>
        </w:rPr>
        <w:t>ry of Arts and Culture</w:t>
      </w:r>
    </w:p>
    <w:p w:rsidR="00A4430D" w:rsidRPr="002221D8" w:rsidRDefault="00A4430D" w:rsidP="00A4430D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80" w:lineRule="exact"/>
        <w:rPr>
          <w:rFonts w:ascii="Times New Roman" w:hAnsi="Times New Roman" w:cs="Times New Roman"/>
          <w:b/>
        </w:rPr>
      </w:pPr>
      <w:proofErr w:type="gramStart"/>
      <w:r w:rsidRPr="002221D8">
        <w:rPr>
          <w:rFonts w:ascii="Times New Roman" w:hAnsi="Times New Roman" w:cs="Times New Roman"/>
          <w:b/>
        </w:rPr>
        <w:t>7</w:t>
      </w:r>
      <w:r w:rsidRPr="002221D8">
        <w:rPr>
          <w:rFonts w:ascii="Times New Roman" w:hAnsi="Times New Roman" w:cs="Times New Roman"/>
          <w:b/>
          <w:vertAlign w:val="superscript"/>
        </w:rPr>
        <w:t>th</w:t>
      </w:r>
      <w:proofErr w:type="gramEnd"/>
      <w:r w:rsidRPr="002221D8">
        <w:rPr>
          <w:rFonts w:ascii="Times New Roman" w:hAnsi="Times New Roman" w:cs="Times New Roman"/>
          <w:b/>
        </w:rPr>
        <w:t xml:space="preserve"> Floor, </w:t>
      </w:r>
      <w:proofErr w:type="spellStart"/>
      <w:r w:rsidRPr="002221D8">
        <w:rPr>
          <w:rFonts w:ascii="Times New Roman" w:hAnsi="Times New Roman" w:cs="Times New Roman"/>
          <w:b/>
        </w:rPr>
        <w:t>Renganaden</w:t>
      </w:r>
      <w:proofErr w:type="spellEnd"/>
      <w:r w:rsidRPr="002221D8">
        <w:rPr>
          <w:rFonts w:ascii="Times New Roman" w:hAnsi="Times New Roman" w:cs="Times New Roman"/>
          <w:b/>
        </w:rPr>
        <w:t xml:space="preserve"> </w:t>
      </w:r>
      <w:proofErr w:type="spellStart"/>
      <w:r w:rsidRPr="002221D8">
        <w:rPr>
          <w:rFonts w:ascii="Times New Roman" w:hAnsi="Times New Roman" w:cs="Times New Roman"/>
          <w:b/>
        </w:rPr>
        <w:t>Seeneevassen</w:t>
      </w:r>
      <w:proofErr w:type="spellEnd"/>
      <w:r w:rsidRPr="002221D8">
        <w:rPr>
          <w:rFonts w:ascii="Times New Roman" w:hAnsi="Times New Roman" w:cs="Times New Roman"/>
          <w:b/>
        </w:rPr>
        <w:t xml:space="preserve"> Building</w:t>
      </w:r>
    </w:p>
    <w:p w:rsidR="00A4430D" w:rsidRPr="002221D8" w:rsidRDefault="00A4430D" w:rsidP="00A4430D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80" w:lineRule="exact"/>
        <w:rPr>
          <w:rFonts w:ascii="Times New Roman" w:hAnsi="Times New Roman" w:cs="Times New Roman"/>
          <w:b/>
        </w:rPr>
      </w:pPr>
      <w:proofErr w:type="spellStart"/>
      <w:r w:rsidRPr="002221D8">
        <w:rPr>
          <w:rFonts w:ascii="Times New Roman" w:hAnsi="Times New Roman" w:cs="Times New Roman"/>
          <w:b/>
        </w:rPr>
        <w:t>Cnr</w:t>
      </w:r>
      <w:proofErr w:type="spellEnd"/>
      <w:r w:rsidRPr="002221D8">
        <w:rPr>
          <w:rFonts w:ascii="Times New Roman" w:hAnsi="Times New Roman" w:cs="Times New Roman"/>
          <w:b/>
        </w:rPr>
        <w:t xml:space="preserve"> Pope </w:t>
      </w:r>
      <w:proofErr w:type="spellStart"/>
      <w:r w:rsidRPr="002221D8">
        <w:rPr>
          <w:rFonts w:ascii="Times New Roman" w:hAnsi="Times New Roman" w:cs="Times New Roman"/>
          <w:b/>
        </w:rPr>
        <w:t>Hensessy</w:t>
      </w:r>
      <w:proofErr w:type="spellEnd"/>
      <w:r w:rsidRPr="002221D8">
        <w:rPr>
          <w:rFonts w:ascii="Times New Roman" w:hAnsi="Times New Roman" w:cs="Times New Roman"/>
          <w:b/>
        </w:rPr>
        <w:t xml:space="preserve"> and </w:t>
      </w:r>
      <w:proofErr w:type="spellStart"/>
      <w:r w:rsidRPr="002221D8">
        <w:rPr>
          <w:rFonts w:ascii="Times New Roman" w:hAnsi="Times New Roman" w:cs="Times New Roman"/>
          <w:b/>
        </w:rPr>
        <w:t>Maillard</w:t>
      </w:r>
      <w:proofErr w:type="spellEnd"/>
      <w:r w:rsidRPr="002221D8">
        <w:rPr>
          <w:rFonts w:ascii="Times New Roman" w:hAnsi="Times New Roman" w:cs="Times New Roman"/>
          <w:b/>
        </w:rPr>
        <w:t xml:space="preserve"> Street</w:t>
      </w:r>
    </w:p>
    <w:p w:rsidR="00A4430D" w:rsidRDefault="00A4430D" w:rsidP="00A4430D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80" w:lineRule="exact"/>
        <w:rPr>
          <w:rFonts w:ascii="Times New Roman" w:hAnsi="Times New Roman" w:cs="Times New Roman"/>
          <w:b/>
        </w:rPr>
      </w:pPr>
      <w:r w:rsidRPr="002221D8">
        <w:rPr>
          <w:rFonts w:ascii="Times New Roman" w:hAnsi="Times New Roman" w:cs="Times New Roman"/>
          <w:b/>
        </w:rPr>
        <w:t>Port Louis</w:t>
      </w:r>
    </w:p>
    <w:p w:rsidR="002221D8" w:rsidRPr="002221D8" w:rsidRDefault="00F33AB9" w:rsidP="00A4430D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after="0" w:line="280" w:lineRule="exac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June</w:t>
      </w:r>
      <w:r w:rsidR="00EB65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2025</w:t>
      </w:r>
    </w:p>
    <w:p w:rsidR="009B334A" w:rsidRPr="008C2C71" w:rsidRDefault="009B334A" w:rsidP="009B334A">
      <w:pPr>
        <w:pBdr>
          <w:top w:val="thickThinSmallGap" w:sz="24" w:space="0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right"/>
        <w:rPr>
          <w:rFonts w:ascii="Times New Roman" w:hAnsi="Times New Roman" w:cs="Times New Roman"/>
          <w:b/>
          <w:i/>
        </w:rPr>
      </w:pPr>
    </w:p>
    <w:p w:rsidR="003B3726" w:rsidRPr="008C2C71" w:rsidRDefault="003B3726">
      <w:pPr>
        <w:rPr>
          <w:rFonts w:ascii="Times New Roman" w:hAnsi="Times New Roman" w:cs="Times New Roman"/>
        </w:rPr>
      </w:pPr>
    </w:p>
    <w:sectPr w:rsidR="003B3726" w:rsidRPr="008C2C71" w:rsidSect="009B334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76"/>
    <w:rsid w:val="00071A14"/>
    <w:rsid w:val="00075E81"/>
    <w:rsid w:val="000C561B"/>
    <w:rsid w:val="00133645"/>
    <w:rsid w:val="0013558C"/>
    <w:rsid w:val="00156205"/>
    <w:rsid w:val="001A24E2"/>
    <w:rsid w:val="001A25D3"/>
    <w:rsid w:val="001B349D"/>
    <w:rsid w:val="002221D8"/>
    <w:rsid w:val="00247BC0"/>
    <w:rsid w:val="00256990"/>
    <w:rsid w:val="00273FB0"/>
    <w:rsid w:val="002854F7"/>
    <w:rsid w:val="002871EF"/>
    <w:rsid w:val="00290F05"/>
    <w:rsid w:val="002E1CB2"/>
    <w:rsid w:val="0031189E"/>
    <w:rsid w:val="00323DFB"/>
    <w:rsid w:val="00375842"/>
    <w:rsid w:val="003B3726"/>
    <w:rsid w:val="003C06A9"/>
    <w:rsid w:val="004107D8"/>
    <w:rsid w:val="0041124B"/>
    <w:rsid w:val="00414F3E"/>
    <w:rsid w:val="004236F0"/>
    <w:rsid w:val="004503C1"/>
    <w:rsid w:val="004F51A7"/>
    <w:rsid w:val="004F7AB4"/>
    <w:rsid w:val="00557649"/>
    <w:rsid w:val="0057643B"/>
    <w:rsid w:val="006341DF"/>
    <w:rsid w:val="00656418"/>
    <w:rsid w:val="006661B5"/>
    <w:rsid w:val="006B5649"/>
    <w:rsid w:val="006E62C8"/>
    <w:rsid w:val="00760119"/>
    <w:rsid w:val="007654C5"/>
    <w:rsid w:val="007A6E27"/>
    <w:rsid w:val="007A7FFC"/>
    <w:rsid w:val="007B19F4"/>
    <w:rsid w:val="007D0CC7"/>
    <w:rsid w:val="007E2CBD"/>
    <w:rsid w:val="007F31AB"/>
    <w:rsid w:val="00831A12"/>
    <w:rsid w:val="008C2C71"/>
    <w:rsid w:val="00943D29"/>
    <w:rsid w:val="00954DF3"/>
    <w:rsid w:val="00962935"/>
    <w:rsid w:val="00962B2D"/>
    <w:rsid w:val="00967ECE"/>
    <w:rsid w:val="00980CCF"/>
    <w:rsid w:val="009B334A"/>
    <w:rsid w:val="009F78C1"/>
    <w:rsid w:val="00A24B19"/>
    <w:rsid w:val="00A26ED2"/>
    <w:rsid w:val="00A31D22"/>
    <w:rsid w:val="00A4430D"/>
    <w:rsid w:val="00A64582"/>
    <w:rsid w:val="00A71D7D"/>
    <w:rsid w:val="00A81A88"/>
    <w:rsid w:val="00A870CA"/>
    <w:rsid w:val="00AF35BC"/>
    <w:rsid w:val="00B019FD"/>
    <w:rsid w:val="00B039C3"/>
    <w:rsid w:val="00B35F5A"/>
    <w:rsid w:val="00B41014"/>
    <w:rsid w:val="00B73949"/>
    <w:rsid w:val="00B76C2C"/>
    <w:rsid w:val="00B83E87"/>
    <w:rsid w:val="00BA785D"/>
    <w:rsid w:val="00BF2FBC"/>
    <w:rsid w:val="00BF7E89"/>
    <w:rsid w:val="00C23BAC"/>
    <w:rsid w:val="00C24A1A"/>
    <w:rsid w:val="00C82BA4"/>
    <w:rsid w:val="00C84003"/>
    <w:rsid w:val="00CE0076"/>
    <w:rsid w:val="00CF06EB"/>
    <w:rsid w:val="00D2350D"/>
    <w:rsid w:val="00D62AB6"/>
    <w:rsid w:val="00D70F8A"/>
    <w:rsid w:val="00D869C3"/>
    <w:rsid w:val="00D96E2B"/>
    <w:rsid w:val="00DD4F50"/>
    <w:rsid w:val="00DD58ED"/>
    <w:rsid w:val="00E22A9A"/>
    <w:rsid w:val="00E745BE"/>
    <w:rsid w:val="00E90BCC"/>
    <w:rsid w:val="00EB32BC"/>
    <w:rsid w:val="00EB65D1"/>
    <w:rsid w:val="00EC52AC"/>
    <w:rsid w:val="00F10ED3"/>
    <w:rsid w:val="00F30C87"/>
    <w:rsid w:val="00F33AB9"/>
    <w:rsid w:val="00F9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DC1E"/>
  <w15:chartTrackingRefBased/>
  <w15:docId w15:val="{C22BA452-1112-4733-A2E7-DE812003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B334A"/>
    <w:rPr>
      <w:b/>
      <w:bCs/>
    </w:rPr>
  </w:style>
  <w:style w:type="character" w:styleId="Hyperlink">
    <w:name w:val="Hyperlink"/>
    <w:basedOn w:val="DefaultParagraphFont"/>
    <w:uiPriority w:val="99"/>
    <w:unhideWhenUsed/>
    <w:rsid w:val="009B33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CB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5F5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6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procdesk@govmu.org" TargetMode="External"/><Relationship Id="rId4" Type="http://schemas.openxmlformats.org/officeDocument/2006/relationships/hyperlink" Target="http://eproc.publicprocurement.govm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GOOLFEE</cp:lastModifiedBy>
  <cp:revision>6</cp:revision>
  <cp:lastPrinted>2025-06-24T07:09:00Z</cp:lastPrinted>
  <dcterms:created xsi:type="dcterms:W3CDTF">2025-06-18T09:52:00Z</dcterms:created>
  <dcterms:modified xsi:type="dcterms:W3CDTF">2025-06-24T07:13:00Z</dcterms:modified>
</cp:coreProperties>
</file>