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24DF9" w14:textId="77777777" w:rsidR="00BC2C58" w:rsidRPr="00D55645" w:rsidRDefault="00D55645" w:rsidP="007936DB">
      <w:pPr>
        <w:pStyle w:val="isselectedend"/>
        <w:jc w:val="center"/>
        <w:rPr>
          <w:rStyle w:val="Strong"/>
          <w:sz w:val="2"/>
          <w:szCs w:val="2"/>
        </w:rPr>
      </w:pPr>
      <w:r>
        <w:rPr>
          <w:b/>
          <w:noProof/>
          <w:lang w:val="en-GB" w:eastAsia="en-GB"/>
        </w:rPr>
        <w:drawing>
          <wp:inline distT="0" distB="0" distL="0" distR="0" wp14:anchorId="2CD352C7" wp14:editId="421B5B9C">
            <wp:extent cx="891540" cy="7620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91540" cy="762000"/>
                    </a:xfrm>
                    <a:prstGeom prst="rect">
                      <a:avLst/>
                    </a:prstGeom>
                    <a:noFill/>
                    <a:ln w="9525">
                      <a:noFill/>
                      <a:miter lim="800000"/>
                      <a:headEnd/>
                      <a:tailEnd/>
                    </a:ln>
                  </pic:spPr>
                </pic:pic>
              </a:graphicData>
            </a:graphic>
          </wp:inline>
        </w:drawing>
      </w:r>
    </w:p>
    <w:p w14:paraId="5C363AE6" w14:textId="77777777" w:rsidR="00D55645" w:rsidRPr="00836BDD" w:rsidRDefault="00D55645" w:rsidP="00074154">
      <w:pPr>
        <w:spacing w:after="0" w:line="240" w:lineRule="auto"/>
        <w:jc w:val="center"/>
        <w:rPr>
          <w:rFonts w:ascii="Times New Roman" w:eastAsia="Times New Roman" w:hAnsi="Times New Roman" w:cs="Times New Roman"/>
          <w:b/>
          <w:bCs/>
          <w:sz w:val="28"/>
          <w:szCs w:val="28"/>
        </w:rPr>
      </w:pPr>
      <w:bookmarkStart w:id="0" w:name="_Hlk223626646"/>
      <w:r w:rsidRPr="00836BDD">
        <w:rPr>
          <w:rFonts w:ascii="Times New Roman" w:eastAsia="Times New Roman" w:hAnsi="Times New Roman" w:cs="Times New Roman"/>
          <w:b/>
          <w:bCs/>
          <w:sz w:val="28"/>
          <w:szCs w:val="28"/>
        </w:rPr>
        <w:t>FORENSIC SCIENCE LABORATORY</w:t>
      </w:r>
    </w:p>
    <w:p w14:paraId="277E63B2" w14:textId="77777777" w:rsidR="00D55645" w:rsidRPr="00836BDD" w:rsidRDefault="00D55645" w:rsidP="00074154">
      <w:pPr>
        <w:spacing w:after="0" w:line="240" w:lineRule="auto"/>
        <w:jc w:val="center"/>
        <w:rPr>
          <w:rFonts w:ascii="Times New Roman" w:eastAsia="Times New Roman" w:hAnsi="Times New Roman" w:cs="Times New Roman"/>
          <w:bCs/>
          <w:i/>
          <w:sz w:val="28"/>
          <w:szCs w:val="28"/>
        </w:rPr>
      </w:pPr>
      <w:r w:rsidRPr="00836BDD">
        <w:rPr>
          <w:rFonts w:ascii="Times New Roman" w:eastAsia="Times New Roman" w:hAnsi="Times New Roman" w:cs="Times New Roman"/>
          <w:bCs/>
          <w:i/>
          <w:sz w:val="28"/>
          <w:szCs w:val="28"/>
        </w:rPr>
        <w:t>Prime Minister’s Office- Rodrigues</w:t>
      </w:r>
      <w:r w:rsidR="0065171B">
        <w:rPr>
          <w:rFonts w:ascii="Times New Roman" w:eastAsia="Times New Roman" w:hAnsi="Times New Roman" w:cs="Times New Roman"/>
          <w:bCs/>
          <w:i/>
          <w:sz w:val="28"/>
          <w:szCs w:val="28"/>
          <w:lang w:val="en-US"/>
        </w:rPr>
        <w:t xml:space="preserve"> and </w:t>
      </w:r>
      <w:r w:rsidRPr="00836BDD">
        <w:rPr>
          <w:rFonts w:ascii="Times New Roman" w:eastAsia="Times New Roman" w:hAnsi="Times New Roman" w:cs="Times New Roman"/>
          <w:bCs/>
          <w:i/>
          <w:sz w:val="28"/>
          <w:szCs w:val="28"/>
        </w:rPr>
        <w:t>Outer Islands</w:t>
      </w:r>
    </w:p>
    <w:p w14:paraId="36C36AD9" w14:textId="77777777" w:rsidR="00D55645" w:rsidRPr="00836BDD" w:rsidRDefault="00D55645" w:rsidP="00074154">
      <w:pPr>
        <w:spacing w:after="0" w:line="240" w:lineRule="auto"/>
        <w:jc w:val="center"/>
        <w:rPr>
          <w:rFonts w:ascii="Times New Roman" w:eastAsia="Times New Roman" w:hAnsi="Times New Roman" w:cs="Times New Roman"/>
          <w:bCs/>
          <w:i/>
          <w:iCs/>
          <w:color w:val="000000"/>
          <w:kern w:val="28"/>
          <w:sz w:val="28"/>
          <w:szCs w:val="28"/>
          <w:lang w:val="en-GB" w:eastAsia="en-GB"/>
        </w:rPr>
      </w:pPr>
      <w:r w:rsidRPr="00836BDD">
        <w:rPr>
          <w:rFonts w:ascii="Times New Roman" w:eastAsia="Times New Roman" w:hAnsi="Times New Roman" w:cs="Times New Roman"/>
          <w:bCs/>
          <w:i/>
          <w:iCs/>
          <w:color w:val="000000"/>
          <w:kern w:val="28"/>
          <w:sz w:val="28"/>
          <w:szCs w:val="28"/>
          <w:lang w:val="en-GB" w:eastAsia="en-GB"/>
        </w:rPr>
        <w:t>Level 2, National Laboratories Complex, Reduit</w:t>
      </w:r>
    </w:p>
    <w:p w14:paraId="01E6CFBE" w14:textId="77777777" w:rsidR="00BC2C58" w:rsidRDefault="00D55645" w:rsidP="00074154">
      <w:pPr>
        <w:pStyle w:val="isselectedend"/>
        <w:spacing w:before="0" w:beforeAutospacing="0" w:after="0" w:afterAutospacing="0"/>
        <w:jc w:val="center"/>
        <w:rPr>
          <w:rStyle w:val="Strong"/>
        </w:rPr>
      </w:pPr>
      <w:r w:rsidRPr="00836BDD">
        <w:rPr>
          <w:i/>
          <w:iCs/>
          <w:color w:val="000000"/>
          <w:sz w:val="28"/>
          <w:szCs w:val="28"/>
        </w:rPr>
        <w:t>Tel: (230) 466 1239   Fax: (230) 466 9412</w:t>
      </w:r>
      <w:bookmarkEnd w:id="0"/>
      <w:r w:rsidR="00000000">
        <w:rPr>
          <w:rStyle w:val="Strong"/>
        </w:rPr>
        <w:pict w14:anchorId="2E9635CE">
          <v:rect id="_x0000_i1025" style="width:0;height:1.5pt" o:hralign="center" o:hrstd="t" o:hr="t" fillcolor="#a0a0a0" stroked="f"/>
        </w:pict>
      </w:r>
    </w:p>
    <w:p w14:paraId="0EBC5563" w14:textId="6BECB509" w:rsidR="00BC2C58" w:rsidRPr="00BC2C58" w:rsidRDefault="003019CE" w:rsidP="00BC2C58">
      <w:pPr>
        <w:pStyle w:val="isselectedend"/>
        <w:jc w:val="center"/>
        <w:rPr>
          <w:u w:val="single"/>
        </w:rPr>
      </w:pPr>
      <w:r>
        <w:rPr>
          <w:u w:val="single"/>
        </w:rPr>
        <w:t>ADDENDUM NO.1</w:t>
      </w:r>
    </w:p>
    <w:p w14:paraId="3BF10C45" w14:textId="77777777" w:rsidR="003019CE" w:rsidRDefault="003019CE" w:rsidP="003019CE">
      <w:pPr>
        <w:pStyle w:val="isselectedend"/>
      </w:pPr>
      <w:bookmarkStart w:id="1" w:name="_Hlk223762466"/>
      <w:r>
        <w:rPr>
          <w:rStyle w:val="Strong"/>
        </w:rPr>
        <w:t>Reference:</w:t>
      </w:r>
      <w:r>
        <w:t xml:space="preserve"> FSL/E</w:t>
      </w:r>
      <w:r>
        <w:rPr>
          <w:lang w:val="en-US"/>
        </w:rPr>
        <w:t>OI</w:t>
      </w:r>
      <w:r>
        <w:t xml:space="preserve"> 3</w:t>
      </w:r>
      <w:r>
        <w:rPr>
          <w:lang w:val="en-US"/>
        </w:rPr>
        <w:t>0</w:t>
      </w:r>
      <w:r>
        <w:t xml:space="preserve"> of 2025–2026</w:t>
      </w:r>
    </w:p>
    <w:p w14:paraId="622A2FD1" w14:textId="72EA1453" w:rsidR="007F0296" w:rsidRPr="007F0296" w:rsidRDefault="007F0296" w:rsidP="003019CE">
      <w:pPr>
        <w:pStyle w:val="NoSpacing"/>
        <w:spacing w:line="360" w:lineRule="auto"/>
        <w:rPr>
          <w:rFonts w:ascii="Times New Roman" w:hAnsi="Times New Roman" w:cs="Times New Roman"/>
          <w:b/>
          <w:sz w:val="24"/>
          <w:szCs w:val="24"/>
          <w:u w:val="single"/>
          <w:lang w:val="en-US"/>
        </w:rPr>
      </w:pPr>
      <w:r w:rsidRPr="007F0296">
        <w:rPr>
          <w:rFonts w:ascii="Times New Roman" w:hAnsi="Times New Roman" w:cs="Times New Roman"/>
          <w:b/>
          <w:sz w:val="24"/>
          <w:szCs w:val="24"/>
          <w:u w:val="single"/>
        </w:rPr>
        <w:t>Expression of Interest</w:t>
      </w:r>
      <w:r w:rsidR="003019CE">
        <w:rPr>
          <w:rFonts w:ascii="Times New Roman" w:hAnsi="Times New Roman" w:cs="Times New Roman"/>
          <w:b/>
          <w:sz w:val="24"/>
          <w:szCs w:val="24"/>
          <w:u w:val="single"/>
        </w:rPr>
        <w:t xml:space="preserve"> </w:t>
      </w:r>
      <w:proofErr w:type="gramStart"/>
      <w:r w:rsidRPr="007F0296">
        <w:rPr>
          <w:rFonts w:ascii="Times New Roman" w:hAnsi="Times New Roman" w:cs="Times New Roman"/>
          <w:b/>
          <w:sz w:val="24"/>
          <w:szCs w:val="24"/>
          <w:u w:val="single"/>
          <w:lang w:val="en-US"/>
        </w:rPr>
        <w:t>Fo</w:t>
      </w:r>
      <w:r>
        <w:rPr>
          <w:rFonts w:ascii="Times New Roman" w:hAnsi="Times New Roman" w:cs="Times New Roman"/>
          <w:b/>
          <w:sz w:val="24"/>
          <w:szCs w:val="24"/>
          <w:u w:val="single"/>
          <w:lang w:val="en-US"/>
        </w:rPr>
        <w:t>r</w:t>
      </w:r>
      <w:proofErr w:type="gramEnd"/>
      <w:r w:rsidRPr="007F0296">
        <w:rPr>
          <w:rFonts w:ascii="Times New Roman" w:hAnsi="Times New Roman" w:cs="Times New Roman"/>
          <w:b/>
          <w:sz w:val="24"/>
          <w:szCs w:val="24"/>
          <w:u w:val="single"/>
          <w:lang w:val="en-US"/>
        </w:rPr>
        <w:t xml:space="preserve"> Consultan</w:t>
      </w:r>
      <w:r>
        <w:rPr>
          <w:rFonts w:ascii="Times New Roman" w:hAnsi="Times New Roman" w:cs="Times New Roman"/>
          <w:b/>
          <w:sz w:val="24"/>
          <w:szCs w:val="24"/>
          <w:u w:val="single"/>
          <w:lang w:val="en-US"/>
        </w:rPr>
        <w:t>c</w:t>
      </w:r>
      <w:r w:rsidRPr="007F0296">
        <w:rPr>
          <w:rFonts w:ascii="Times New Roman" w:hAnsi="Times New Roman" w:cs="Times New Roman"/>
          <w:b/>
          <w:sz w:val="24"/>
          <w:szCs w:val="24"/>
          <w:u w:val="single"/>
          <w:lang w:val="en-US"/>
        </w:rPr>
        <w:t>y Services</w:t>
      </w:r>
      <w:r w:rsidR="003019CE">
        <w:rPr>
          <w:rFonts w:ascii="Times New Roman" w:hAnsi="Times New Roman" w:cs="Times New Roman"/>
          <w:b/>
          <w:sz w:val="24"/>
          <w:szCs w:val="24"/>
          <w:u w:val="single"/>
          <w:lang w:val="en-US"/>
        </w:rPr>
        <w:t xml:space="preserve"> </w:t>
      </w:r>
      <w:r w:rsidRPr="007F0296">
        <w:rPr>
          <w:rFonts w:ascii="Times New Roman" w:hAnsi="Times New Roman" w:cs="Times New Roman"/>
          <w:b/>
          <w:sz w:val="24"/>
          <w:szCs w:val="24"/>
          <w:u w:val="single"/>
          <w:lang w:val="en-US"/>
        </w:rPr>
        <w:t>For the Migration and Implementation of an ISO/IEC 17025 Quality Management System at the new Forensic Laboratory (FSL), La Vigie</w:t>
      </w:r>
    </w:p>
    <w:bookmarkEnd w:id="1"/>
    <w:p w14:paraId="3ADCE6C8" w14:textId="77777777" w:rsidR="00E2317B" w:rsidRPr="00E2317B" w:rsidRDefault="00E2317B" w:rsidP="00E2317B">
      <w:pPr>
        <w:autoSpaceDE w:val="0"/>
        <w:autoSpaceDN w:val="0"/>
        <w:adjustRightInd w:val="0"/>
        <w:spacing w:after="0" w:line="240" w:lineRule="auto"/>
        <w:rPr>
          <w:rFonts w:ascii="Times New Roman" w:hAnsi="Times New Roman" w:cs="Times New Roman"/>
          <w:color w:val="000000"/>
          <w:sz w:val="24"/>
          <w:szCs w:val="24"/>
          <w:lang w:val="en-MU"/>
        </w:rPr>
      </w:pPr>
    </w:p>
    <w:p w14:paraId="478E5EB2" w14:textId="13399B90" w:rsidR="00E2317B" w:rsidRDefault="00E2317B" w:rsidP="00E2317B">
      <w:pPr>
        <w:autoSpaceDE w:val="0"/>
        <w:autoSpaceDN w:val="0"/>
        <w:adjustRightInd w:val="0"/>
        <w:spacing w:after="0" w:line="240" w:lineRule="auto"/>
        <w:rPr>
          <w:rFonts w:ascii="Times New Roman" w:hAnsi="Times New Roman" w:cs="Times New Roman"/>
          <w:color w:val="000000"/>
          <w:sz w:val="23"/>
          <w:szCs w:val="23"/>
          <w:lang w:val="en-MU"/>
        </w:rPr>
      </w:pPr>
      <w:r w:rsidRPr="00E2317B">
        <w:rPr>
          <w:rFonts w:ascii="Times New Roman" w:hAnsi="Times New Roman" w:cs="Times New Roman"/>
          <w:color w:val="000000"/>
          <w:sz w:val="24"/>
          <w:szCs w:val="24"/>
          <w:lang w:val="en-MU"/>
        </w:rPr>
        <w:t xml:space="preserve"> </w:t>
      </w:r>
      <w:r w:rsidRPr="00E2317B">
        <w:rPr>
          <w:rFonts w:ascii="Times New Roman" w:hAnsi="Times New Roman" w:cs="Times New Roman"/>
          <w:color w:val="000000"/>
          <w:sz w:val="23"/>
          <w:szCs w:val="23"/>
          <w:lang w:val="en-MU"/>
        </w:rPr>
        <w:t xml:space="preserve">Please refer to our </w:t>
      </w:r>
      <w:r w:rsidRPr="00E2317B">
        <w:rPr>
          <w:rFonts w:ascii="Times New Roman" w:hAnsi="Times New Roman" w:cs="Times New Roman"/>
          <w:b/>
          <w:bCs/>
          <w:i/>
          <w:iCs/>
          <w:color w:val="000000"/>
          <w:sz w:val="23"/>
          <w:szCs w:val="23"/>
          <w:lang w:val="en-MU"/>
        </w:rPr>
        <w:t xml:space="preserve">Invitation for </w:t>
      </w:r>
      <w:r>
        <w:rPr>
          <w:rFonts w:ascii="Times New Roman" w:hAnsi="Times New Roman" w:cs="Times New Roman"/>
          <w:b/>
          <w:bCs/>
          <w:i/>
          <w:iCs/>
          <w:color w:val="000000"/>
          <w:sz w:val="23"/>
          <w:szCs w:val="23"/>
          <w:lang w:val="en-MU"/>
        </w:rPr>
        <w:t>Expression of Interest</w:t>
      </w:r>
      <w:r w:rsidRPr="00E2317B">
        <w:rPr>
          <w:rFonts w:ascii="Times New Roman" w:hAnsi="Times New Roman" w:cs="Times New Roman"/>
          <w:b/>
          <w:bCs/>
          <w:i/>
          <w:iCs/>
          <w:color w:val="000000"/>
          <w:sz w:val="23"/>
          <w:szCs w:val="23"/>
          <w:lang w:val="en-MU"/>
        </w:rPr>
        <w:t xml:space="preserve"> </w:t>
      </w:r>
      <w:r w:rsidRPr="00E2317B">
        <w:rPr>
          <w:rFonts w:ascii="Times New Roman" w:hAnsi="Times New Roman" w:cs="Times New Roman"/>
          <w:color w:val="000000"/>
          <w:sz w:val="23"/>
          <w:szCs w:val="23"/>
          <w:lang w:val="en-MU"/>
        </w:rPr>
        <w:t xml:space="preserve">dated </w:t>
      </w:r>
      <w:r w:rsidRPr="00E2317B">
        <w:rPr>
          <w:rFonts w:ascii="Times New Roman" w:hAnsi="Times New Roman" w:cs="Times New Roman"/>
          <w:b/>
          <w:bCs/>
          <w:i/>
          <w:iCs/>
          <w:color w:val="000000"/>
          <w:sz w:val="23"/>
          <w:szCs w:val="23"/>
          <w:lang w:val="en-MU"/>
        </w:rPr>
        <w:t>1</w:t>
      </w:r>
      <w:r>
        <w:rPr>
          <w:rFonts w:ascii="Times New Roman" w:hAnsi="Times New Roman" w:cs="Times New Roman"/>
          <w:b/>
          <w:bCs/>
          <w:i/>
          <w:iCs/>
          <w:color w:val="000000"/>
          <w:sz w:val="23"/>
          <w:szCs w:val="23"/>
          <w:lang w:val="en-MU"/>
        </w:rPr>
        <w:t>1</w:t>
      </w:r>
      <w:r w:rsidRPr="00E2317B">
        <w:rPr>
          <w:rFonts w:ascii="Times New Roman" w:hAnsi="Times New Roman" w:cs="Times New Roman"/>
          <w:b/>
          <w:bCs/>
          <w:i/>
          <w:iCs/>
          <w:color w:val="000000"/>
          <w:sz w:val="23"/>
          <w:szCs w:val="23"/>
          <w:lang w:val="en-MU"/>
        </w:rPr>
        <w:t xml:space="preserve"> </w:t>
      </w:r>
      <w:r>
        <w:rPr>
          <w:rFonts w:ascii="Times New Roman" w:hAnsi="Times New Roman" w:cs="Times New Roman"/>
          <w:b/>
          <w:bCs/>
          <w:i/>
          <w:iCs/>
          <w:color w:val="000000"/>
          <w:sz w:val="23"/>
          <w:szCs w:val="23"/>
          <w:lang w:val="en-MU"/>
        </w:rPr>
        <w:t>March</w:t>
      </w:r>
      <w:r w:rsidRPr="00E2317B">
        <w:rPr>
          <w:rFonts w:ascii="Times New Roman" w:hAnsi="Times New Roman" w:cs="Times New Roman"/>
          <w:b/>
          <w:bCs/>
          <w:i/>
          <w:iCs/>
          <w:color w:val="000000"/>
          <w:sz w:val="23"/>
          <w:szCs w:val="23"/>
          <w:lang w:val="en-MU"/>
        </w:rPr>
        <w:t xml:space="preserve"> 202</w:t>
      </w:r>
      <w:r>
        <w:rPr>
          <w:rFonts w:ascii="Times New Roman" w:hAnsi="Times New Roman" w:cs="Times New Roman"/>
          <w:b/>
          <w:bCs/>
          <w:i/>
          <w:iCs/>
          <w:color w:val="000000"/>
          <w:sz w:val="23"/>
          <w:szCs w:val="23"/>
          <w:lang w:val="en-MU"/>
        </w:rPr>
        <w:t>6</w:t>
      </w:r>
      <w:r w:rsidRPr="00E2317B">
        <w:rPr>
          <w:rFonts w:ascii="Times New Roman" w:hAnsi="Times New Roman" w:cs="Times New Roman"/>
          <w:b/>
          <w:bCs/>
          <w:i/>
          <w:iCs/>
          <w:color w:val="000000"/>
          <w:sz w:val="23"/>
          <w:szCs w:val="23"/>
          <w:lang w:val="en-MU"/>
        </w:rPr>
        <w:t xml:space="preserve"> </w:t>
      </w:r>
      <w:r w:rsidRPr="00E2317B">
        <w:rPr>
          <w:rFonts w:ascii="Times New Roman" w:hAnsi="Times New Roman" w:cs="Times New Roman"/>
          <w:color w:val="000000"/>
          <w:sz w:val="23"/>
          <w:szCs w:val="23"/>
          <w:lang w:val="en-MU"/>
        </w:rPr>
        <w:t xml:space="preserve">on the above subject. </w:t>
      </w:r>
    </w:p>
    <w:p w14:paraId="53370504" w14:textId="77777777" w:rsidR="00E2317B" w:rsidRPr="00E2317B" w:rsidRDefault="00E2317B" w:rsidP="00E2317B">
      <w:pPr>
        <w:autoSpaceDE w:val="0"/>
        <w:autoSpaceDN w:val="0"/>
        <w:adjustRightInd w:val="0"/>
        <w:spacing w:after="0" w:line="240" w:lineRule="auto"/>
        <w:rPr>
          <w:rFonts w:ascii="Times New Roman" w:hAnsi="Times New Roman" w:cs="Times New Roman"/>
          <w:color w:val="000000"/>
          <w:sz w:val="23"/>
          <w:szCs w:val="23"/>
          <w:lang w:val="en-MU"/>
        </w:rPr>
      </w:pPr>
    </w:p>
    <w:p w14:paraId="16E2A653" w14:textId="3BD3BCEA" w:rsidR="003019CE" w:rsidRDefault="00E2317B" w:rsidP="00E2317B">
      <w:r w:rsidRPr="00E2317B">
        <w:rPr>
          <w:rFonts w:ascii="Times New Roman" w:hAnsi="Times New Roman" w:cs="Times New Roman"/>
          <w:color w:val="000000"/>
          <w:sz w:val="23"/>
          <w:szCs w:val="23"/>
          <w:lang w:val="en-MU"/>
        </w:rPr>
        <w:t>2. Following queries from bidders, the under-mentioned clarifications are brought to the attention of all bidders:</w:t>
      </w:r>
    </w:p>
    <w:tbl>
      <w:tblPr>
        <w:tblStyle w:val="TableGrid"/>
        <w:tblW w:w="0" w:type="auto"/>
        <w:tblLook w:val="04A0" w:firstRow="1" w:lastRow="0" w:firstColumn="1" w:lastColumn="0" w:noHBand="0" w:noVBand="1"/>
      </w:tblPr>
      <w:tblGrid>
        <w:gridCol w:w="704"/>
        <w:gridCol w:w="3544"/>
        <w:gridCol w:w="5102"/>
      </w:tblGrid>
      <w:tr w:rsidR="003019CE" w14:paraId="347BA5E7" w14:textId="77777777" w:rsidTr="00EA5700">
        <w:tc>
          <w:tcPr>
            <w:tcW w:w="704" w:type="dxa"/>
          </w:tcPr>
          <w:p w14:paraId="10137B4C" w14:textId="77777777" w:rsidR="003019CE" w:rsidRPr="00F07ED9" w:rsidRDefault="003019CE" w:rsidP="00EA5700">
            <w:pPr>
              <w:rPr>
                <w:b/>
                <w:bCs/>
              </w:rPr>
            </w:pPr>
            <w:r w:rsidRPr="00F07ED9">
              <w:rPr>
                <w:b/>
                <w:bCs/>
              </w:rPr>
              <w:t>SN</w:t>
            </w:r>
          </w:p>
        </w:tc>
        <w:tc>
          <w:tcPr>
            <w:tcW w:w="3544" w:type="dxa"/>
          </w:tcPr>
          <w:p w14:paraId="566DCE7A" w14:textId="77777777" w:rsidR="003019CE" w:rsidRPr="00F07ED9" w:rsidRDefault="003019CE" w:rsidP="00EA5700">
            <w:pPr>
              <w:rPr>
                <w:b/>
                <w:bCs/>
              </w:rPr>
            </w:pPr>
            <w:r w:rsidRPr="00F07ED9">
              <w:rPr>
                <w:b/>
                <w:bCs/>
              </w:rPr>
              <w:t>Clarification Information</w:t>
            </w:r>
          </w:p>
        </w:tc>
        <w:tc>
          <w:tcPr>
            <w:tcW w:w="5102" w:type="dxa"/>
          </w:tcPr>
          <w:p w14:paraId="4D96FD2E" w14:textId="77777777" w:rsidR="003019CE" w:rsidRPr="00F07ED9" w:rsidRDefault="003019CE" w:rsidP="00EA5700">
            <w:pPr>
              <w:rPr>
                <w:b/>
                <w:bCs/>
              </w:rPr>
            </w:pPr>
            <w:r w:rsidRPr="00F07ED9">
              <w:rPr>
                <w:b/>
                <w:bCs/>
              </w:rPr>
              <w:t>Remarks</w:t>
            </w:r>
          </w:p>
        </w:tc>
      </w:tr>
      <w:tr w:rsidR="003019CE" w14:paraId="38EDDE99" w14:textId="77777777" w:rsidTr="00EA5700">
        <w:tc>
          <w:tcPr>
            <w:tcW w:w="704" w:type="dxa"/>
          </w:tcPr>
          <w:p w14:paraId="069860BE" w14:textId="77777777" w:rsidR="003019CE" w:rsidRDefault="003019CE" w:rsidP="00EA5700">
            <w:r>
              <w:t>1</w:t>
            </w:r>
          </w:p>
        </w:tc>
        <w:tc>
          <w:tcPr>
            <w:tcW w:w="3544" w:type="dxa"/>
          </w:tcPr>
          <w:p w14:paraId="1EC419FD" w14:textId="77777777" w:rsidR="003019CE" w:rsidRPr="00BB1B71" w:rsidRDefault="003019CE" w:rsidP="00EA5700">
            <w:pPr>
              <w:rPr>
                <w:lang w:val="en-GB"/>
              </w:rPr>
            </w:pPr>
            <w:r w:rsidRPr="00BB1B71">
              <w:rPr>
                <w:lang w:val="en-GB"/>
              </w:rPr>
              <w:t>Can the FSL confirm the current state of readiness at La Vigie, including building handover, utilities qualification, equipment installation, and operational commissioning?</w:t>
            </w:r>
          </w:p>
          <w:p w14:paraId="6425C4E4" w14:textId="77777777" w:rsidR="003019CE" w:rsidRDefault="003019CE" w:rsidP="00EA5700"/>
        </w:tc>
        <w:tc>
          <w:tcPr>
            <w:tcW w:w="5102" w:type="dxa"/>
          </w:tcPr>
          <w:p w14:paraId="17FF51B2" w14:textId="77777777" w:rsidR="003019CE" w:rsidRDefault="003019CE" w:rsidP="00EA5700">
            <w:r>
              <w:t>The building is expected to be completed by mid-June 2026.</w:t>
            </w:r>
          </w:p>
        </w:tc>
      </w:tr>
      <w:tr w:rsidR="003019CE" w14:paraId="2BB43489" w14:textId="77777777" w:rsidTr="00EA5700">
        <w:tc>
          <w:tcPr>
            <w:tcW w:w="704" w:type="dxa"/>
          </w:tcPr>
          <w:p w14:paraId="1881719F" w14:textId="77777777" w:rsidR="003019CE" w:rsidRDefault="003019CE" w:rsidP="00EA5700">
            <w:r>
              <w:t>2</w:t>
            </w:r>
          </w:p>
        </w:tc>
        <w:tc>
          <w:tcPr>
            <w:tcW w:w="3544" w:type="dxa"/>
          </w:tcPr>
          <w:p w14:paraId="38F092AA" w14:textId="77777777" w:rsidR="003019CE" w:rsidRPr="00BB1B71" w:rsidRDefault="003019CE" w:rsidP="00EA5700">
            <w:pPr>
              <w:rPr>
                <w:lang w:val="en-GB"/>
              </w:rPr>
            </w:pPr>
            <w:r w:rsidRPr="00BB1B71">
              <w:rPr>
                <w:lang w:val="en-GB"/>
              </w:rPr>
              <w:t>Can the FSL provide greater clarity on the nature and extent of the support required in relation to verification and validation following its relocation?  Including whether the expectation is primarily a relocation-focused change management exercise, a modular verification/validation programme linked to the move, or a hybrid of the two.</w:t>
            </w:r>
          </w:p>
          <w:p w14:paraId="00375C8D" w14:textId="77777777" w:rsidR="003019CE" w:rsidRDefault="003019CE" w:rsidP="00EA5700"/>
        </w:tc>
        <w:tc>
          <w:tcPr>
            <w:tcW w:w="5102" w:type="dxa"/>
          </w:tcPr>
          <w:p w14:paraId="66E64A10" w14:textId="77777777" w:rsidR="003019CE" w:rsidRDefault="003019CE" w:rsidP="00EA5700">
            <w:r>
              <w:t>A hybrid of the two.</w:t>
            </w:r>
          </w:p>
        </w:tc>
      </w:tr>
      <w:tr w:rsidR="003019CE" w14:paraId="6BBEEC50" w14:textId="77777777" w:rsidTr="00EA5700">
        <w:tc>
          <w:tcPr>
            <w:tcW w:w="704" w:type="dxa"/>
          </w:tcPr>
          <w:p w14:paraId="3B504323" w14:textId="77777777" w:rsidR="003019CE" w:rsidRDefault="003019CE" w:rsidP="00EA5700">
            <w:r>
              <w:t>3</w:t>
            </w:r>
          </w:p>
        </w:tc>
        <w:tc>
          <w:tcPr>
            <w:tcW w:w="3544" w:type="dxa"/>
          </w:tcPr>
          <w:p w14:paraId="112C679D" w14:textId="77777777" w:rsidR="003019CE" w:rsidRPr="00BB1B71" w:rsidRDefault="003019CE" w:rsidP="00EA5700">
            <w:pPr>
              <w:rPr>
                <w:lang w:val="en-GB"/>
              </w:rPr>
            </w:pPr>
            <w:r w:rsidRPr="00BB1B71">
              <w:rPr>
                <w:lang w:val="en-GB"/>
              </w:rPr>
              <w:t>Can the FSL confirm the expected deliverables for the assignment? For example, gap analysis; implementation plan, revised QMS documentation, training materials, validation/verification support records, mock assessment support, and final readiness report?</w:t>
            </w:r>
          </w:p>
          <w:p w14:paraId="6F8FB9F7" w14:textId="77777777" w:rsidR="003019CE" w:rsidRDefault="003019CE" w:rsidP="00EA5700"/>
        </w:tc>
        <w:tc>
          <w:tcPr>
            <w:tcW w:w="5102" w:type="dxa"/>
          </w:tcPr>
          <w:p w14:paraId="77DE20F4" w14:textId="77777777" w:rsidR="003019CE" w:rsidRDefault="003019CE" w:rsidP="00EA5700">
            <w:r>
              <w:t>Deliverables expected:</w:t>
            </w:r>
          </w:p>
          <w:p w14:paraId="1FA323F5" w14:textId="77777777" w:rsidR="003019CE" w:rsidRPr="00531768" w:rsidRDefault="003019CE" w:rsidP="003019CE">
            <w:pPr>
              <w:pStyle w:val="ListParagraph"/>
              <w:numPr>
                <w:ilvl w:val="0"/>
                <w:numId w:val="1"/>
              </w:numPr>
            </w:pPr>
            <w:r>
              <w:rPr>
                <w:lang w:val="en-GB"/>
              </w:rPr>
              <w:t xml:space="preserve">Gap analysis and </w:t>
            </w:r>
            <w:r w:rsidRPr="00531768">
              <w:rPr>
                <w:lang w:val="en-GB"/>
              </w:rPr>
              <w:t>implementation plan</w:t>
            </w:r>
          </w:p>
          <w:p w14:paraId="50A73675" w14:textId="77777777" w:rsidR="003019CE" w:rsidRPr="00531768" w:rsidRDefault="003019CE" w:rsidP="003019CE">
            <w:pPr>
              <w:pStyle w:val="ListParagraph"/>
              <w:numPr>
                <w:ilvl w:val="0"/>
                <w:numId w:val="1"/>
              </w:numPr>
            </w:pPr>
            <w:r>
              <w:rPr>
                <w:lang w:val="en-GB"/>
              </w:rPr>
              <w:t>Risk assessment and contingency plan</w:t>
            </w:r>
          </w:p>
          <w:p w14:paraId="39E11925" w14:textId="77777777" w:rsidR="003019CE" w:rsidRDefault="003019CE" w:rsidP="003019CE">
            <w:pPr>
              <w:pStyle w:val="ListParagraph"/>
              <w:numPr>
                <w:ilvl w:val="0"/>
                <w:numId w:val="1"/>
              </w:numPr>
            </w:pPr>
            <w:r>
              <w:t>Revise QMS and documentation system</w:t>
            </w:r>
          </w:p>
          <w:p w14:paraId="0B8E76D6" w14:textId="77777777" w:rsidR="003019CE" w:rsidRDefault="003019CE" w:rsidP="003019CE">
            <w:pPr>
              <w:pStyle w:val="ListParagraph"/>
              <w:numPr>
                <w:ilvl w:val="0"/>
                <w:numId w:val="1"/>
              </w:numPr>
            </w:pPr>
            <w:r>
              <w:t>Validation/Verification support</w:t>
            </w:r>
          </w:p>
          <w:p w14:paraId="7371B3C6" w14:textId="77777777" w:rsidR="003019CE" w:rsidRDefault="003019CE" w:rsidP="003019CE">
            <w:pPr>
              <w:pStyle w:val="ListParagraph"/>
              <w:numPr>
                <w:ilvl w:val="0"/>
                <w:numId w:val="1"/>
              </w:numPr>
            </w:pPr>
            <w:r>
              <w:t>Training</w:t>
            </w:r>
          </w:p>
          <w:p w14:paraId="6C0AB06F" w14:textId="77777777" w:rsidR="003019CE" w:rsidRDefault="003019CE" w:rsidP="003019CE">
            <w:pPr>
              <w:pStyle w:val="ListParagraph"/>
              <w:numPr>
                <w:ilvl w:val="0"/>
                <w:numId w:val="1"/>
              </w:numPr>
            </w:pPr>
            <w:r>
              <w:t>Benchmarking support</w:t>
            </w:r>
          </w:p>
          <w:p w14:paraId="711F75C0" w14:textId="77777777" w:rsidR="003019CE" w:rsidRDefault="003019CE" w:rsidP="00EA5700">
            <w:pPr>
              <w:pStyle w:val="ListParagraph"/>
            </w:pPr>
          </w:p>
          <w:p w14:paraId="5EF54873" w14:textId="77777777" w:rsidR="003019CE" w:rsidRDefault="003019CE" w:rsidP="00EA5700"/>
          <w:p w14:paraId="4B5A8C23" w14:textId="77777777" w:rsidR="003019CE" w:rsidRDefault="003019CE" w:rsidP="00EA5700"/>
        </w:tc>
      </w:tr>
      <w:tr w:rsidR="003019CE" w14:paraId="3E75DC77" w14:textId="77777777" w:rsidTr="00EA5700">
        <w:tc>
          <w:tcPr>
            <w:tcW w:w="704" w:type="dxa"/>
          </w:tcPr>
          <w:p w14:paraId="167CA27D" w14:textId="77777777" w:rsidR="003019CE" w:rsidRDefault="003019CE" w:rsidP="00EA5700">
            <w:r>
              <w:t>4</w:t>
            </w:r>
          </w:p>
        </w:tc>
        <w:tc>
          <w:tcPr>
            <w:tcW w:w="3544" w:type="dxa"/>
          </w:tcPr>
          <w:p w14:paraId="46725EC4" w14:textId="77777777" w:rsidR="003019CE" w:rsidRPr="00BB1B71" w:rsidRDefault="003019CE" w:rsidP="00EA5700">
            <w:pPr>
              <w:rPr>
                <w:lang w:val="en-GB"/>
              </w:rPr>
            </w:pPr>
            <w:r w:rsidRPr="00BB1B71">
              <w:rPr>
                <w:lang w:val="en-GB"/>
              </w:rPr>
              <w:t xml:space="preserve">Can the FSL confirm the expected training audience, approximate number of personnel, and whether </w:t>
            </w:r>
            <w:r w:rsidRPr="00BB1B71">
              <w:rPr>
                <w:lang w:val="en-GB"/>
              </w:rPr>
              <w:lastRenderedPageBreak/>
              <w:t>training is to be general ISO/IEC 17025 implementation training or role/discipline-specific?</w:t>
            </w:r>
          </w:p>
          <w:p w14:paraId="2CAA5860" w14:textId="77777777" w:rsidR="003019CE" w:rsidRPr="00BB1B71" w:rsidRDefault="003019CE" w:rsidP="00EA5700">
            <w:pPr>
              <w:rPr>
                <w:lang w:val="en-GB"/>
              </w:rPr>
            </w:pPr>
          </w:p>
        </w:tc>
        <w:tc>
          <w:tcPr>
            <w:tcW w:w="5102" w:type="dxa"/>
          </w:tcPr>
          <w:p w14:paraId="1E0D262E" w14:textId="77777777" w:rsidR="003019CE" w:rsidRDefault="003019CE" w:rsidP="003019CE">
            <w:pPr>
              <w:pStyle w:val="ListParagraph"/>
              <w:numPr>
                <w:ilvl w:val="0"/>
                <w:numId w:val="2"/>
              </w:numPr>
            </w:pPr>
            <w:r>
              <w:lastRenderedPageBreak/>
              <w:t>Training for approximately 70 to 100 personnel covering:</w:t>
            </w:r>
          </w:p>
          <w:p w14:paraId="797E7B3D" w14:textId="77777777" w:rsidR="003019CE" w:rsidRDefault="003019CE" w:rsidP="00EA5700">
            <w:pPr>
              <w:pStyle w:val="ListParagraph"/>
            </w:pPr>
            <w:r>
              <w:lastRenderedPageBreak/>
              <w:t>a) ISO/IEC ISO 17025 and related courses (</w:t>
            </w:r>
            <w:proofErr w:type="spellStart"/>
            <w:r>
              <w:t>e.g</w:t>
            </w:r>
            <w:proofErr w:type="spellEnd"/>
            <w:r>
              <w:t xml:space="preserve"> Internal Audit, Risk Base Assessment Principles, validation/measurement uncertainty, </w:t>
            </w:r>
            <w:proofErr w:type="spellStart"/>
            <w:r>
              <w:t>etc</w:t>
            </w:r>
            <w:proofErr w:type="spellEnd"/>
            <w:r>
              <w:t>)</w:t>
            </w:r>
          </w:p>
          <w:p w14:paraId="044ACCC6" w14:textId="77777777" w:rsidR="003019CE" w:rsidRDefault="003019CE" w:rsidP="00EA5700">
            <w:pPr>
              <w:pStyle w:val="ListParagraph"/>
            </w:pPr>
            <w:r>
              <w:t>b) discipline-specific</w:t>
            </w:r>
          </w:p>
          <w:p w14:paraId="449E73EA" w14:textId="77777777" w:rsidR="003019CE" w:rsidRDefault="003019CE" w:rsidP="00EA5700">
            <w:pPr>
              <w:pStyle w:val="ListParagraph"/>
            </w:pPr>
          </w:p>
          <w:p w14:paraId="0DD1A364" w14:textId="77777777" w:rsidR="003019CE" w:rsidRDefault="003019CE" w:rsidP="00EA5700"/>
        </w:tc>
      </w:tr>
      <w:tr w:rsidR="003019CE" w14:paraId="2BDE878C" w14:textId="77777777" w:rsidTr="00EA5700">
        <w:tc>
          <w:tcPr>
            <w:tcW w:w="704" w:type="dxa"/>
          </w:tcPr>
          <w:p w14:paraId="4A97905B" w14:textId="77777777" w:rsidR="003019CE" w:rsidRDefault="003019CE" w:rsidP="00EA5700">
            <w:r>
              <w:lastRenderedPageBreak/>
              <w:t>5</w:t>
            </w:r>
          </w:p>
        </w:tc>
        <w:tc>
          <w:tcPr>
            <w:tcW w:w="3544" w:type="dxa"/>
          </w:tcPr>
          <w:p w14:paraId="3389C5B5" w14:textId="77777777" w:rsidR="003019CE" w:rsidRPr="00BB1B71" w:rsidRDefault="003019CE" w:rsidP="00EA5700">
            <w:pPr>
              <w:rPr>
                <w:lang w:val="en-GB"/>
              </w:rPr>
            </w:pPr>
            <w:r w:rsidRPr="00BB1B71">
              <w:rPr>
                <w:lang w:val="en-GB"/>
              </w:rPr>
              <w:t>Can the FSL provide greater clarity on what it means by “achieving readiness” in the context of this assignment, including the expected support framework and whether consultant input is intended to extend from gap assessment and implementation support through to accreditation-readiness activities associated with the relocated facilities? </w:t>
            </w:r>
          </w:p>
          <w:p w14:paraId="477271A4" w14:textId="77777777" w:rsidR="003019CE" w:rsidRDefault="003019CE" w:rsidP="00EA5700"/>
        </w:tc>
        <w:tc>
          <w:tcPr>
            <w:tcW w:w="5102" w:type="dxa"/>
          </w:tcPr>
          <w:p w14:paraId="0C7E85F6" w14:textId="77777777" w:rsidR="003019CE" w:rsidRDefault="003019CE" w:rsidP="00EA5700">
            <w:r>
              <w:t>The framework proposed should enable the FSL to Achieve Readiness with regards to:</w:t>
            </w:r>
          </w:p>
          <w:p w14:paraId="6CE5D8A0" w14:textId="77777777" w:rsidR="003019CE" w:rsidRDefault="003019CE" w:rsidP="00EA5700">
            <w:r>
              <w:t>1) Accreditation Status</w:t>
            </w:r>
          </w:p>
          <w:p w14:paraId="48B45D0C" w14:textId="77777777" w:rsidR="003019CE" w:rsidRDefault="003019CE" w:rsidP="00EA5700">
            <w:r>
              <w:t>2) Operational capabilities</w:t>
            </w:r>
          </w:p>
          <w:p w14:paraId="4A6276FE" w14:textId="77777777" w:rsidR="003019CE" w:rsidRDefault="003019CE" w:rsidP="00EA5700">
            <w:r>
              <w:t xml:space="preserve">3) Service Delivery </w:t>
            </w:r>
          </w:p>
          <w:p w14:paraId="3E7BBBC0" w14:textId="77777777" w:rsidR="003019CE" w:rsidRDefault="003019CE" w:rsidP="00EA5700">
            <w:r>
              <w:t>4) Meeting agreed Turn-around-time.</w:t>
            </w:r>
          </w:p>
        </w:tc>
      </w:tr>
      <w:tr w:rsidR="003019CE" w14:paraId="17380969" w14:textId="77777777" w:rsidTr="00EA5700">
        <w:tc>
          <w:tcPr>
            <w:tcW w:w="704" w:type="dxa"/>
          </w:tcPr>
          <w:p w14:paraId="1302D4B0" w14:textId="77777777" w:rsidR="003019CE" w:rsidRDefault="003019CE" w:rsidP="00EA5700">
            <w:r>
              <w:t>6</w:t>
            </w:r>
          </w:p>
        </w:tc>
        <w:tc>
          <w:tcPr>
            <w:tcW w:w="3544" w:type="dxa"/>
          </w:tcPr>
          <w:p w14:paraId="6EA61AB5" w14:textId="77777777" w:rsidR="003019CE" w:rsidRPr="00BB1B71" w:rsidRDefault="003019CE" w:rsidP="00EA5700">
            <w:pPr>
              <w:rPr>
                <w:lang w:val="en-GB"/>
              </w:rPr>
            </w:pPr>
            <w:r w:rsidRPr="00BB1B71">
              <w:rPr>
                <w:lang w:val="en-GB"/>
              </w:rPr>
              <w:t>Would the FSL prefer the consultancy and training element to be delivered in-person in Mauritius or remotely via video call?</w:t>
            </w:r>
          </w:p>
          <w:p w14:paraId="755B897D" w14:textId="77777777" w:rsidR="003019CE" w:rsidRDefault="003019CE" w:rsidP="00EA5700"/>
        </w:tc>
        <w:tc>
          <w:tcPr>
            <w:tcW w:w="5102" w:type="dxa"/>
          </w:tcPr>
          <w:p w14:paraId="53B66470" w14:textId="77777777" w:rsidR="003019CE" w:rsidRDefault="003019CE" w:rsidP="00EA5700">
            <w:r>
              <w:t>Prefer to have consultant on site.</w:t>
            </w:r>
          </w:p>
        </w:tc>
      </w:tr>
      <w:tr w:rsidR="003019CE" w14:paraId="10A23BE0" w14:textId="77777777" w:rsidTr="00EA5700">
        <w:tc>
          <w:tcPr>
            <w:tcW w:w="704" w:type="dxa"/>
          </w:tcPr>
          <w:p w14:paraId="5BCDCA20" w14:textId="77777777" w:rsidR="003019CE" w:rsidRDefault="003019CE" w:rsidP="00EA5700">
            <w:r>
              <w:t>7</w:t>
            </w:r>
          </w:p>
        </w:tc>
        <w:tc>
          <w:tcPr>
            <w:tcW w:w="3544" w:type="dxa"/>
          </w:tcPr>
          <w:p w14:paraId="00D00452" w14:textId="77777777" w:rsidR="003019CE" w:rsidRPr="00BB1B71" w:rsidRDefault="003019CE" w:rsidP="00EA5700">
            <w:pPr>
              <w:rPr>
                <w:lang w:val="en-GB"/>
              </w:rPr>
            </w:pPr>
            <w:r w:rsidRPr="00BB1B71">
              <w:rPr>
                <w:lang w:val="en-GB"/>
              </w:rPr>
              <w:t>The FSL’s company structure does not show a Quality Manager/Lead, does the FSL have a Quality Manager/Lead and/or will there be an assigned quality SPOC for the project?</w:t>
            </w:r>
          </w:p>
          <w:p w14:paraId="47427755" w14:textId="77777777" w:rsidR="003019CE" w:rsidRDefault="003019CE" w:rsidP="00EA5700"/>
        </w:tc>
        <w:tc>
          <w:tcPr>
            <w:tcW w:w="5102" w:type="dxa"/>
          </w:tcPr>
          <w:p w14:paraId="5BE8E4E6" w14:textId="77777777" w:rsidR="003019CE" w:rsidRDefault="003019CE" w:rsidP="00EA5700">
            <w:r>
              <w:t>FSL has an assigned Quality Team on a rotational basis of one accreditation cycle, comprising of FSL staff.</w:t>
            </w:r>
          </w:p>
        </w:tc>
      </w:tr>
      <w:tr w:rsidR="003019CE" w14:paraId="3E6B2771" w14:textId="77777777" w:rsidTr="00EA5700">
        <w:tc>
          <w:tcPr>
            <w:tcW w:w="704" w:type="dxa"/>
          </w:tcPr>
          <w:p w14:paraId="3ADFBE91" w14:textId="77777777" w:rsidR="003019CE" w:rsidRDefault="003019CE" w:rsidP="00EA5700">
            <w:r>
              <w:t>8</w:t>
            </w:r>
          </w:p>
        </w:tc>
        <w:tc>
          <w:tcPr>
            <w:tcW w:w="3544" w:type="dxa"/>
          </w:tcPr>
          <w:p w14:paraId="349E9160" w14:textId="77777777" w:rsidR="003019CE" w:rsidRPr="00BB1B71" w:rsidRDefault="003019CE" w:rsidP="00EA5700">
            <w:pPr>
              <w:rPr>
                <w:lang w:val="en-GB"/>
              </w:rPr>
            </w:pPr>
            <w:r w:rsidRPr="00BB1B71">
              <w:rPr>
                <w:lang w:val="en-GB"/>
              </w:rPr>
              <w:t>Does the FSL have a specific budget identified? Does the FSL have a preferred currency to quote in?</w:t>
            </w:r>
          </w:p>
          <w:p w14:paraId="423BDB67" w14:textId="77777777" w:rsidR="003019CE" w:rsidRDefault="003019CE" w:rsidP="00EA5700"/>
        </w:tc>
        <w:tc>
          <w:tcPr>
            <w:tcW w:w="5102" w:type="dxa"/>
          </w:tcPr>
          <w:p w14:paraId="0D5CDBDB" w14:textId="77777777" w:rsidR="003019CE" w:rsidRDefault="003019CE" w:rsidP="00EA5700">
            <w:r>
              <w:t>Quotes in any currency that is easily convertible to Mauritian Rupees is acceptable.</w:t>
            </w:r>
          </w:p>
        </w:tc>
      </w:tr>
      <w:tr w:rsidR="003019CE" w14:paraId="6FC7CE41" w14:textId="77777777" w:rsidTr="00EA5700">
        <w:tc>
          <w:tcPr>
            <w:tcW w:w="704" w:type="dxa"/>
          </w:tcPr>
          <w:p w14:paraId="2FD4ED73" w14:textId="77777777" w:rsidR="003019CE" w:rsidRDefault="003019CE" w:rsidP="00EA5700">
            <w:r>
              <w:t>9</w:t>
            </w:r>
          </w:p>
        </w:tc>
        <w:tc>
          <w:tcPr>
            <w:tcW w:w="3544" w:type="dxa"/>
          </w:tcPr>
          <w:p w14:paraId="16A60EA0" w14:textId="77777777" w:rsidR="003019CE" w:rsidRPr="00BB1B71" w:rsidRDefault="003019CE" w:rsidP="00EA5700">
            <w:pPr>
              <w:rPr>
                <w:lang w:val="en-GB"/>
              </w:rPr>
            </w:pPr>
            <w:r w:rsidRPr="00BB1B71">
              <w:rPr>
                <w:lang w:val="en-GB"/>
              </w:rPr>
              <w:t>What percentage of delivery is anticipated to be performed on-site at the FSL? Does the FSL expect a consultant to be deployed for nine-months?</w:t>
            </w:r>
          </w:p>
          <w:p w14:paraId="7B8BCC4A" w14:textId="77777777" w:rsidR="003019CE" w:rsidRDefault="003019CE" w:rsidP="00EA5700"/>
        </w:tc>
        <w:tc>
          <w:tcPr>
            <w:tcW w:w="5102" w:type="dxa"/>
          </w:tcPr>
          <w:p w14:paraId="3D292D9E" w14:textId="77777777" w:rsidR="003019CE" w:rsidRDefault="003019CE" w:rsidP="00EA5700">
            <w:r>
              <w:t xml:space="preserve">The consultant is expected to be deployed for nine-months, and </w:t>
            </w:r>
            <w:proofErr w:type="gramStart"/>
            <w:r>
              <w:t>full service</w:t>
            </w:r>
            <w:proofErr w:type="gramEnd"/>
            <w:r>
              <w:t xml:space="preserve"> delivery is expected at the new Facility only.</w:t>
            </w:r>
          </w:p>
        </w:tc>
      </w:tr>
      <w:tr w:rsidR="003019CE" w14:paraId="420807DF" w14:textId="77777777" w:rsidTr="00EA5700">
        <w:tc>
          <w:tcPr>
            <w:tcW w:w="704" w:type="dxa"/>
          </w:tcPr>
          <w:p w14:paraId="5F4074DE" w14:textId="77777777" w:rsidR="003019CE" w:rsidRDefault="003019CE" w:rsidP="00EA5700">
            <w:r>
              <w:t>10</w:t>
            </w:r>
          </w:p>
        </w:tc>
        <w:tc>
          <w:tcPr>
            <w:tcW w:w="3544" w:type="dxa"/>
          </w:tcPr>
          <w:p w14:paraId="46D06029" w14:textId="77777777" w:rsidR="003019CE" w:rsidRPr="00BB1B71" w:rsidRDefault="003019CE" w:rsidP="00EA5700">
            <w:pPr>
              <w:rPr>
                <w:lang w:val="en-GB"/>
              </w:rPr>
            </w:pPr>
            <w:r w:rsidRPr="00BB1B71">
              <w:rPr>
                <w:lang w:val="en-GB"/>
              </w:rPr>
              <w:t>Does the FSL expect a combination of roles to be deployed for the project? For example, Laboratory Staff, Consultants (Managerial).</w:t>
            </w:r>
          </w:p>
          <w:p w14:paraId="4305D3DE" w14:textId="77777777" w:rsidR="003019CE" w:rsidRDefault="003019CE" w:rsidP="00EA5700"/>
        </w:tc>
        <w:tc>
          <w:tcPr>
            <w:tcW w:w="5102" w:type="dxa"/>
          </w:tcPr>
          <w:p w14:paraId="519DD6B8" w14:textId="77777777" w:rsidR="003019CE" w:rsidRDefault="003019CE" w:rsidP="00EA5700">
            <w:r>
              <w:t>Yes</w:t>
            </w:r>
          </w:p>
          <w:p w14:paraId="2F434057" w14:textId="77777777" w:rsidR="003019CE" w:rsidRDefault="003019CE" w:rsidP="00EA5700"/>
        </w:tc>
      </w:tr>
    </w:tbl>
    <w:p w14:paraId="183E5249" w14:textId="77777777" w:rsidR="00E2317B" w:rsidRDefault="00E2317B" w:rsidP="004F5CED">
      <w:pPr>
        <w:pStyle w:val="NormalWeb"/>
        <w:spacing w:before="0" w:beforeAutospacing="0" w:after="0" w:afterAutospacing="0"/>
        <w:rPr>
          <w:rStyle w:val="Strong"/>
        </w:rPr>
      </w:pPr>
    </w:p>
    <w:p w14:paraId="3C674209" w14:textId="376E2997" w:rsidR="000600EB" w:rsidRDefault="00E2317B" w:rsidP="004F5CED">
      <w:pPr>
        <w:pStyle w:val="NormalWeb"/>
        <w:spacing w:before="0" w:beforeAutospacing="0" w:after="0" w:afterAutospacing="0"/>
      </w:pPr>
      <w:r>
        <w:rPr>
          <w:rStyle w:val="Strong"/>
        </w:rPr>
        <w:t>F</w:t>
      </w:r>
      <w:r w:rsidR="00BC2C58">
        <w:rPr>
          <w:rStyle w:val="Strong"/>
        </w:rPr>
        <w:t>orensic Science Laboratory</w:t>
      </w:r>
      <w:r w:rsidR="00BC2C58">
        <w:br/>
      </w:r>
      <w:r w:rsidR="000600EB">
        <w:t>Prime Minister’s Office- Rodrigues</w:t>
      </w:r>
      <w:r w:rsidR="0065171B">
        <w:rPr>
          <w:lang w:val="en-US"/>
        </w:rPr>
        <w:t xml:space="preserve"> and</w:t>
      </w:r>
      <w:r w:rsidR="000600EB">
        <w:t xml:space="preserve"> Outer Islands</w:t>
      </w:r>
    </w:p>
    <w:p w14:paraId="605D28B0" w14:textId="77777777" w:rsidR="000600EB" w:rsidRDefault="000600EB" w:rsidP="004F5CED">
      <w:pPr>
        <w:pStyle w:val="NormalWeb"/>
        <w:spacing w:before="0" w:beforeAutospacing="0" w:after="0" w:afterAutospacing="0"/>
      </w:pPr>
      <w:r>
        <w:t>Level 2, National Laboratories Complex, Reduit</w:t>
      </w:r>
    </w:p>
    <w:p w14:paraId="70EEC479" w14:textId="77777777" w:rsidR="000600EB" w:rsidRDefault="000600EB" w:rsidP="004F5CED">
      <w:pPr>
        <w:pStyle w:val="NormalWeb"/>
        <w:spacing w:before="0" w:beforeAutospacing="0" w:after="0" w:afterAutospacing="0"/>
      </w:pPr>
      <w:r>
        <w:t>Tel: (230) 466 1239   Fax: (230) 466 9412</w:t>
      </w:r>
    </w:p>
    <w:p w14:paraId="12F43C50" w14:textId="77777777" w:rsidR="009865A4" w:rsidRDefault="009865A4" w:rsidP="004F5CED">
      <w:pPr>
        <w:pStyle w:val="NormalWeb"/>
        <w:spacing w:before="0" w:beforeAutospacing="0" w:after="0" w:afterAutospacing="0"/>
        <w:rPr>
          <w:lang w:val="en-US"/>
        </w:rPr>
      </w:pPr>
      <w:r>
        <w:rPr>
          <w:lang w:val="en-US"/>
        </w:rPr>
        <w:t xml:space="preserve">Email: </w:t>
      </w:r>
      <w:hyperlink r:id="rId6" w:history="1">
        <w:r w:rsidRPr="00567992">
          <w:rPr>
            <w:rStyle w:val="Hyperlink"/>
            <w:lang w:val="en-US"/>
          </w:rPr>
          <w:t>fsl@govmu.org</w:t>
        </w:r>
      </w:hyperlink>
    </w:p>
    <w:p w14:paraId="3EBA8156" w14:textId="77777777" w:rsidR="009865A4" w:rsidRPr="009865A4" w:rsidRDefault="009865A4" w:rsidP="004F5CED">
      <w:pPr>
        <w:pStyle w:val="NormalWeb"/>
        <w:spacing w:before="0" w:beforeAutospacing="0" w:after="0" w:afterAutospacing="0"/>
        <w:rPr>
          <w:lang w:val="en-US"/>
        </w:rPr>
      </w:pPr>
    </w:p>
    <w:p w14:paraId="14008388" w14:textId="053559EB" w:rsidR="007F0296" w:rsidRPr="007F0296" w:rsidRDefault="00E2317B" w:rsidP="004F5CED">
      <w:pPr>
        <w:pStyle w:val="NormalWeb"/>
        <w:spacing w:before="0" w:beforeAutospacing="0" w:after="0" w:afterAutospacing="0"/>
        <w:rPr>
          <w:lang w:val="en-US"/>
        </w:rPr>
      </w:pPr>
      <w:r>
        <w:rPr>
          <w:lang w:val="en-US"/>
        </w:rPr>
        <w:t>30</w:t>
      </w:r>
      <w:r w:rsidR="007F0296" w:rsidRPr="007F0296">
        <w:rPr>
          <w:vertAlign w:val="superscript"/>
          <w:lang w:val="en-US"/>
        </w:rPr>
        <w:t>th</w:t>
      </w:r>
      <w:r w:rsidR="007F0296">
        <w:rPr>
          <w:lang w:val="en-US"/>
        </w:rPr>
        <w:t xml:space="preserve"> March 2026</w:t>
      </w:r>
    </w:p>
    <w:p w14:paraId="31EF8746" w14:textId="77777777" w:rsidR="007F0296" w:rsidRDefault="00000000" w:rsidP="00BC2C58">
      <w:r>
        <w:rPr>
          <w:rStyle w:val="Strong"/>
        </w:rPr>
        <w:pict w14:anchorId="539AFA46">
          <v:rect id="_x0000_i1026" style="width:0;height:1.5pt" o:hralign="center" o:hrstd="t" o:hr="t" fillcolor="#a0a0a0" stroked="f"/>
        </w:pict>
      </w:r>
    </w:p>
    <w:p w14:paraId="4D2558FA" w14:textId="77777777" w:rsidR="00BC2C58" w:rsidRPr="00BC2C58" w:rsidRDefault="00BC2C58" w:rsidP="00BC2C58"/>
    <w:sectPr w:rsidR="00BC2C58" w:rsidRPr="00BC2C58" w:rsidSect="007936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sha">
    <w:altName w:val="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7117F"/>
    <w:multiLevelType w:val="hybridMultilevel"/>
    <w:tmpl w:val="CF2C6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660608"/>
    <w:multiLevelType w:val="hybridMultilevel"/>
    <w:tmpl w:val="0A641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5571552">
    <w:abstractNumId w:val="1"/>
  </w:num>
  <w:num w:numId="2" w16cid:durableId="1059785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C58"/>
    <w:rsid w:val="00044699"/>
    <w:rsid w:val="0005366D"/>
    <w:rsid w:val="000600EB"/>
    <w:rsid w:val="00074154"/>
    <w:rsid w:val="000777C4"/>
    <w:rsid w:val="00184E03"/>
    <w:rsid w:val="003019CE"/>
    <w:rsid w:val="0030391F"/>
    <w:rsid w:val="0038729A"/>
    <w:rsid w:val="003D0A4A"/>
    <w:rsid w:val="004F5CED"/>
    <w:rsid w:val="00551C0A"/>
    <w:rsid w:val="00650736"/>
    <w:rsid w:val="0065171B"/>
    <w:rsid w:val="006701FF"/>
    <w:rsid w:val="006D766A"/>
    <w:rsid w:val="007936DB"/>
    <w:rsid w:val="007C2465"/>
    <w:rsid w:val="007F0296"/>
    <w:rsid w:val="00840E60"/>
    <w:rsid w:val="00895F01"/>
    <w:rsid w:val="00904722"/>
    <w:rsid w:val="009865A4"/>
    <w:rsid w:val="00AB5258"/>
    <w:rsid w:val="00AC1125"/>
    <w:rsid w:val="00AE53BB"/>
    <w:rsid w:val="00B334B3"/>
    <w:rsid w:val="00BC2A33"/>
    <w:rsid w:val="00BC2C58"/>
    <w:rsid w:val="00C95B09"/>
    <w:rsid w:val="00D260D9"/>
    <w:rsid w:val="00D55645"/>
    <w:rsid w:val="00D9671D"/>
    <w:rsid w:val="00DB2928"/>
    <w:rsid w:val="00E2317B"/>
    <w:rsid w:val="00E43AD6"/>
    <w:rsid w:val="00F07ED9"/>
    <w:rsid w:val="00F1349F"/>
  </w:rsids>
  <m:mathPr>
    <m:mathFont m:val="Cambria Math"/>
    <m:brkBin m:val="before"/>
    <m:brkBinSub m:val="--"/>
    <m:smallFrac m:val="0"/>
    <m:dispDef/>
    <m:lMargin m:val="0"/>
    <m:rMargin m:val="0"/>
    <m:defJc m:val="centerGroup"/>
    <m:wrapIndent m:val="1440"/>
    <m:intLim m:val="subSup"/>
    <m:naryLim m:val="undOvr"/>
  </m:mathPr>
  <w:themeFontLang w:val="en-M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CC5AE"/>
  <w15:chartTrackingRefBased/>
  <w15:docId w15:val="{6F72A680-0986-4460-A96F-9C165372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M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2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BC2C58"/>
    <w:pPr>
      <w:spacing w:before="100" w:beforeAutospacing="1" w:after="100" w:afterAutospacing="1" w:line="240" w:lineRule="auto"/>
    </w:pPr>
    <w:rPr>
      <w:rFonts w:ascii="Times New Roman" w:eastAsia="Times New Roman" w:hAnsi="Times New Roman" w:cs="Times New Roman"/>
      <w:sz w:val="24"/>
      <w:szCs w:val="24"/>
      <w:lang w:eastAsia="en-MU"/>
    </w:rPr>
  </w:style>
  <w:style w:type="character" w:styleId="Strong">
    <w:name w:val="Strong"/>
    <w:basedOn w:val="DefaultParagraphFont"/>
    <w:uiPriority w:val="22"/>
    <w:qFormat/>
    <w:rsid w:val="00BC2C58"/>
    <w:rPr>
      <w:b/>
      <w:bCs/>
    </w:rPr>
  </w:style>
  <w:style w:type="paragraph" w:styleId="NormalWeb">
    <w:name w:val="Normal (Web)"/>
    <w:basedOn w:val="Normal"/>
    <w:uiPriority w:val="99"/>
    <w:semiHidden/>
    <w:unhideWhenUsed/>
    <w:rsid w:val="00BC2C58"/>
    <w:pPr>
      <w:spacing w:before="100" w:beforeAutospacing="1" w:after="100" w:afterAutospacing="1" w:line="240" w:lineRule="auto"/>
    </w:pPr>
    <w:rPr>
      <w:rFonts w:ascii="Times New Roman" w:eastAsia="Times New Roman" w:hAnsi="Times New Roman" w:cs="Times New Roman"/>
      <w:sz w:val="24"/>
      <w:szCs w:val="24"/>
      <w:lang w:eastAsia="en-MU"/>
    </w:rPr>
  </w:style>
  <w:style w:type="character" w:styleId="Hyperlink">
    <w:name w:val="Hyperlink"/>
    <w:basedOn w:val="DefaultParagraphFont"/>
    <w:uiPriority w:val="99"/>
    <w:unhideWhenUsed/>
    <w:rsid w:val="004F5CED"/>
    <w:rPr>
      <w:color w:val="0563C1" w:themeColor="hyperlink"/>
      <w:u w:val="single"/>
    </w:rPr>
  </w:style>
  <w:style w:type="character" w:styleId="UnresolvedMention">
    <w:name w:val="Unresolved Mention"/>
    <w:basedOn w:val="DefaultParagraphFont"/>
    <w:uiPriority w:val="99"/>
    <w:semiHidden/>
    <w:unhideWhenUsed/>
    <w:rsid w:val="004F5CED"/>
    <w:rPr>
      <w:color w:val="605E5C"/>
      <w:shd w:val="clear" w:color="auto" w:fill="E1DFDD"/>
    </w:rPr>
  </w:style>
  <w:style w:type="paragraph" w:styleId="NoSpacing">
    <w:name w:val="No Spacing"/>
    <w:uiPriority w:val="1"/>
    <w:qFormat/>
    <w:rsid w:val="007F0296"/>
    <w:pPr>
      <w:spacing w:after="0" w:line="240" w:lineRule="auto"/>
    </w:pPr>
    <w:rPr>
      <w:kern w:val="2"/>
      <w14:ligatures w14:val="standardContextual"/>
    </w:rPr>
  </w:style>
  <w:style w:type="character" w:customStyle="1" w:styleId="whitespace-normal">
    <w:name w:val="whitespace-normal"/>
    <w:basedOn w:val="DefaultParagraphFont"/>
    <w:rsid w:val="00840E60"/>
  </w:style>
  <w:style w:type="paragraph" w:customStyle="1" w:styleId="Default">
    <w:name w:val="Default"/>
    <w:rsid w:val="00DB2928"/>
    <w:pPr>
      <w:autoSpaceDE w:val="0"/>
      <w:autoSpaceDN w:val="0"/>
      <w:adjustRightInd w:val="0"/>
      <w:spacing w:after="0" w:line="240" w:lineRule="auto"/>
    </w:pPr>
    <w:rPr>
      <w:rFonts w:ascii="Gisha" w:hAnsi="Gisha" w:cs="Gisha"/>
      <w:color w:val="000000"/>
      <w:sz w:val="24"/>
      <w:szCs w:val="24"/>
    </w:rPr>
  </w:style>
  <w:style w:type="paragraph" w:styleId="ListParagraph">
    <w:name w:val="List Paragraph"/>
    <w:basedOn w:val="Normal"/>
    <w:uiPriority w:val="34"/>
    <w:qFormat/>
    <w:rsid w:val="003019CE"/>
    <w:pPr>
      <w:ind w:left="720"/>
      <w:contextualSpacing/>
    </w:pPr>
    <w:rPr>
      <w:lang w:val="en-US"/>
    </w:rPr>
  </w:style>
  <w:style w:type="table" w:styleId="TableGrid">
    <w:name w:val="Table Grid"/>
    <w:basedOn w:val="TableNormal"/>
    <w:uiPriority w:val="39"/>
    <w:rsid w:val="003019C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59046">
      <w:bodyDiv w:val="1"/>
      <w:marLeft w:val="0"/>
      <w:marRight w:val="0"/>
      <w:marTop w:val="0"/>
      <w:marBottom w:val="0"/>
      <w:divBdr>
        <w:top w:val="none" w:sz="0" w:space="0" w:color="auto"/>
        <w:left w:val="none" w:sz="0" w:space="0" w:color="auto"/>
        <w:bottom w:val="none" w:sz="0" w:space="0" w:color="auto"/>
        <w:right w:val="none" w:sz="0" w:space="0" w:color="auto"/>
      </w:divBdr>
    </w:div>
    <w:div w:id="192421116">
      <w:bodyDiv w:val="1"/>
      <w:marLeft w:val="0"/>
      <w:marRight w:val="0"/>
      <w:marTop w:val="0"/>
      <w:marBottom w:val="0"/>
      <w:divBdr>
        <w:top w:val="none" w:sz="0" w:space="0" w:color="auto"/>
        <w:left w:val="none" w:sz="0" w:space="0" w:color="auto"/>
        <w:bottom w:val="none" w:sz="0" w:space="0" w:color="auto"/>
        <w:right w:val="none" w:sz="0" w:space="0" w:color="auto"/>
      </w:divBdr>
    </w:div>
    <w:div w:id="290135430">
      <w:bodyDiv w:val="1"/>
      <w:marLeft w:val="0"/>
      <w:marRight w:val="0"/>
      <w:marTop w:val="0"/>
      <w:marBottom w:val="0"/>
      <w:divBdr>
        <w:top w:val="none" w:sz="0" w:space="0" w:color="auto"/>
        <w:left w:val="none" w:sz="0" w:space="0" w:color="auto"/>
        <w:bottom w:val="none" w:sz="0" w:space="0" w:color="auto"/>
        <w:right w:val="none" w:sz="0" w:space="0" w:color="auto"/>
      </w:divBdr>
    </w:div>
    <w:div w:id="346716634">
      <w:bodyDiv w:val="1"/>
      <w:marLeft w:val="0"/>
      <w:marRight w:val="0"/>
      <w:marTop w:val="0"/>
      <w:marBottom w:val="0"/>
      <w:divBdr>
        <w:top w:val="none" w:sz="0" w:space="0" w:color="auto"/>
        <w:left w:val="none" w:sz="0" w:space="0" w:color="auto"/>
        <w:bottom w:val="none" w:sz="0" w:space="0" w:color="auto"/>
        <w:right w:val="none" w:sz="0" w:space="0" w:color="auto"/>
      </w:divBdr>
    </w:div>
    <w:div w:id="951979954">
      <w:bodyDiv w:val="1"/>
      <w:marLeft w:val="0"/>
      <w:marRight w:val="0"/>
      <w:marTop w:val="0"/>
      <w:marBottom w:val="0"/>
      <w:divBdr>
        <w:top w:val="none" w:sz="0" w:space="0" w:color="auto"/>
        <w:left w:val="none" w:sz="0" w:space="0" w:color="auto"/>
        <w:bottom w:val="none" w:sz="0" w:space="0" w:color="auto"/>
        <w:right w:val="none" w:sz="0" w:space="0" w:color="auto"/>
      </w:divBdr>
    </w:div>
    <w:div w:id="167610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sl@govmu.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Assif Ramjanally</dc:creator>
  <cp:keywords/>
  <dc:description/>
  <cp:lastModifiedBy>FSL</cp:lastModifiedBy>
  <cp:revision>2</cp:revision>
  <dcterms:created xsi:type="dcterms:W3CDTF">2026-03-30T11:02:00Z</dcterms:created>
  <dcterms:modified xsi:type="dcterms:W3CDTF">2026-03-30T11:02:00Z</dcterms:modified>
</cp:coreProperties>
</file>